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234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EC17A3C" w14:textId="358D5835" w:rsidR="00B81D57" w:rsidRPr="00070A6E" w:rsidRDefault="008A1E38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070A6E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4F66E048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US"/>
                                        </w:rPr>
                                      </w:pPr>
                                      <w:r w:rsidRPr="00070A6E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US"/>
                                        </w:rPr>
                                        <w:t>BUSINESS INTELLIGENCE</w:t>
                                      </w:r>
                                    </w:p>
                                    <w:p w14:paraId="7AF0C5B3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01DD5878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2397B190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0D839D1C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0D2F03B5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5FADE3A2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2D02B67D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5C1F9DD1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43F654E9" w14:textId="2B691FC8" w:rsidR="00B81D57" w:rsidRPr="00070A6E" w:rsidRDefault="00C83F78" w:rsidP="00B82CDB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 w:rsidRPr="00070A6E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55421DB" w14:textId="1F3C1D4C" w:rsidR="00B81D57" w:rsidRPr="00070A6E" w:rsidRDefault="00070A6E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w:t>Materiały ćwiczeniowe</w:t>
                                          </w:r>
                                        </w:p>
                                      </w:sdtContent>
                                    </w:sdt>
                                    <w:p w14:paraId="22834EB6" w14:textId="77777777" w:rsidR="00B81D57" w:rsidRDefault="00B81D57" w:rsidP="00F77C05">
                                      <w:pPr>
                                        <w:pStyle w:val="Bezodstpw"/>
                                        <w:rPr>
                                          <w:lang w:val="en-US"/>
                                        </w:rPr>
                                      </w:pPr>
                                    </w:p>
                                    <w:p w14:paraId="289FCE98" w14:textId="77777777" w:rsidR="00030B97" w:rsidRDefault="00030B97" w:rsidP="00F77C05">
                                      <w:pPr>
                                        <w:pStyle w:val="Bezodstpw"/>
                                        <w:rPr>
                                          <w:lang w:val="en-US"/>
                                        </w:rPr>
                                      </w:pPr>
                                    </w:p>
                                    <w:p w14:paraId="00387BBC" w14:textId="0FB6F56F" w:rsidR="00030B97" w:rsidRPr="00030B97" w:rsidRDefault="00030B97" w:rsidP="00030B97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0B97"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  <w:t>Autorzy:</w:t>
                                      </w:r>
                                    </w:p>
                                    <w:p w14:paraId="5F58FD1A" w14:textId="5372A135" w:rsidR="00030B97" w:rsidRPr="00030B97" w:rsidRDefault="00030B97" w:rsidP="00030B97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030B97">
                                        <w:rPr>
                                          <w:color w:val="44546A" w:themeColor="text2"/>
                                        </w:rPr>
                                        <w:t>Dario Šebalj</w:t>
                                      </w:r>
                                    </w:p>
                                    <w:p w14:paraId="73F2B458" w14:textId="77777777" w:rsidR="00030B97" w:rsidRPr="00030B97" w:rsidRDefault="00030B97" w:rsidP="00030B97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</w:p>
                                    <w:p w14:paraId="40FD955F" w14:textId="77777777" w:rsidR="00030B97" w:rsidRPr="00030B97" w:rsidRDefault="00030B97" w:rsidP="00030B97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0B97">
                                        <w:rPr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  <w:t>Wersja finalna:</w:t>
                                      </w:r>
                                    </w:p>
                                    <w:p w14:paraId="5B582BA9" w14:textId="77777777" w:rsidR="00030B97" w:rsidRPr="00030B97" w:rsidRDefault="00030B97" w:rsidP="00030B97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030B97">
                                        <w:rPr>
                                          <w:color w:val="44546A" w:themeColor="text2"/>
                                        </w:rPr>
                                        <w:t>Czerwiec 2025</w:t>
                                      </w:r>
                                    </w:p>
                                    <w:p w14:paraId="0BA3BD32" w14:textId="1FDEA6E1" w:rsidR="00030B97" w:rsidRPr="00030B97" w:rsidRDefault="00030B97" w:rsidP="00F77C05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234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EC17A3C" w14:textId="358D5835" w:rsidR="00B81D57" w:rsidRPr="00070A6E" w:rsidRDefault="008A1E38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070A6E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4F66E048" w:rsidR="00B81D57" w:rsidRPr="00070A6E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070A6E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US"/>
                                  </w:rPr>
                                  <w:t>BUSINESS INTELLIGENCE</w:t>
                                </w:r>
                              </w:p>
                              <w:p w14:paraId="7AF0C5B3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01DD5878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2397B190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0D839D1C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0D2F03B5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5FADE3A2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2D02B67D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5C1F9DD1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43F654E9" w14:textId="2B691FC8" w:rsidR="00B81D57" w:rsidRPr="00070A6E" w:rsidRDefault="00C83F78" w:rsidP="00B82CDB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070A6E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US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  <w:lang w:val="en-US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55421DB" w14:textId="1F3C1D4C" w:rsidR="00B81D57" w:rsidRPr="00070A6E" w:rsidRDefault="00070A6E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US"/>
                                      </w:rPr>
                                      <w:t>Materiały ćwiczeniowe</w:t>
                                    </w:r>
                                  </w:p>
                                </w:sdtContent>
                              </w:sdt>
                              <w:p w14:paraId="22834EB6" w14:textId="77777777" w:rsidR="00B81D57" w:rsidRDefault="00B81D57" w:rsidP="00F77C05">
                                <w:pPr>
                                  <w:pStyle w:val="Bezodstpw"/>
                                  <w:rPr>
                                    <w:lang w:val="en-US"/>
                                  </w:rPr>
                                </w:pPr>
                              </w:p>
                              <w:p w14:paraId="289FCE98" w14:textId="77777777" w:rsidR="00030B97" w:rsidRDefault="00030B97" w:rsidP="00F77C05">
                                <w:pPr>
                                  <w:pStyle w:val="Bezodstpw"/>
                                  <w:rPr>
                                    <w:lang w:val="en-US"/>
                                  </w:rPr>
                                </w:pPr>
                              </w:p>
                              <w:p w14:paraId="00387BBC" w14:textId="0FB6F56F" w:rsidR="00030B97" w:rsidRPr="00030B97" w:rsidRDefault="00030B97" w:rsidP="00030B97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030B97"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Autorzy:</w:t>
                                </w:r>
                              </w:p>
                              <w:p w14:paraId="5F58FD1A" w14:textId="5372A135" w:rsidR="00030B97" w:rsidRPr="00030B97" w:rsidRDefault="00030B97" w:rsidP="00030B97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030B97">
                                  <w:rPr>
                                    <w:color w:val="44546A" w:themeColor="text2"/>
                                  </w:rPr>
                                  <w:t>Dario Šebalj</w:t>
                                </w:r>
                              </w:p>
                              <w:p w14:paraId="73F2B458" w14:textId="77777777" w:rsidR="00030B97" w:rsidRPr="00030B97" w:rsidRDefault="00030B97" w:rsidP="00030B97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</w:p>
                              <w:p w14:paraId="40FD955F" w14:textId="77777777" w:rsidR="00030B97" w:rsidRPr="00030B97" w:rsidRDefault="00030B97" w:rsidP="00030B97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030B97">
                                  <w:rPr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Wersja finalna:</w:t>
                                </w:r>
                              </w:p>
                              <w:p w14:paraId="5B582BA9" w14:textId="77777777" w:rsidR="00030B97" w:rsidRPr="00030B97" w:rsidRDefault="00030B97" w:rsidP="00030B97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030B97">
                                  <w:rPr>
                                    <w:color w:val="44546A" w:themeColor="text2"/>
                                  </w:rPr>
                                  <w:t>Czerwiec 2025</w:t>
                                </w:r>
                              </w:p>
                              <w:p w14:paraId="0BA3BD32" w14:textId="1FDEA6E1" w:rsidR="00030B97" w:rsidRPr="00030B97" w:rsidRDefault="00030B97" w:rsidP="00F77C05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1FA3D61F" w:rsidR="00CE3E7F" w:rsidRPr="00BB4CC5" w:rsidRDefault="00D7550C" w:rsidP="00986904">
      <w:pPr>
        <w:pStyle w:val="Nagwek1"/>
        <w:jc w:val="center"/>
      </w:pPr>
      <w:r>
        <w:lastRenderedPageBreak/>
        <w:t>Ćwiczenia</w:t>
      </w:r>
      <w:r w:rsidR="00CE3E7F" w:rsidRPr="00BB4CC5">
        <w:t xml:space="preserve"> </w:t>
      </w:r>
      <w:r w:rsidR="00C41535">
        <w:t>3</w:t>
      </w:r>
    </w:p>
    <w:p w14:paraId="33BE2200" w14:textId="2116F68D" w:rsidR="00CE3E7F" w:rsidRPr="00986904" w:rsidRDefault="00986904" w:rsidP="00986904">
      <w:pPr>
        <w:pStyle w:val="Nagwek2"/>
        <w:jc w:val="center"/>
        <w:rPr>
          <w:color w:val="auto"/>
        </w:rPr>
      </w:pPr>
      <w:r w:rsidRPr="00986904">
        <w:rPr>
          <w:color w:val="auto"/>
        </w:rPr>
        <w:t>Map</w:t>
      </w:r>
      <w:r w:rsidR="009C494C">
        <w:rPr>
          <w:color w:val="auto"/>
        </w:rPr>
        <w:t>y</w:t>
      </w:r>
    </w:p>
    <w:p w14:paraId="224DF7B7" w14:textId="25FCDB9D" w:rsidR="00CF78C4" w:rsidRDefault="00CE2081" w:rsidP="00C66AFE">
      <w:pPr>
        <w:pStyle w:val="Nagwek3"/>
        <w:jc w:val="both"/>
        <w:rPr>
          <w:color w:val="auto"/>
          <w:sz w:val="22"/>
          <w:szCs w:val="22"/>
        </w:rPr>
      </w:pPr>
      <w:r w:rsidRPr="00CE2081">
        <w:rPr>
          <w:color w:val="auto"/>
          <w:sz w:val="22"/>
          <w:szCs w:val="22"/>
        </w:rPr>
        <w:t>Mapy są przydatne, gdy trzeba odpowiedzieć na pytania dotyczące wymiaru przestrzennego, na przykład, który region generuje największą sprzedaż</w:t>
      </w:r>
      <w:r w:rsidR="00C66AFE" w:rsidRPr="00C66AFE">
        <w:rPr>
          <w:color w:val="auto"/>
          <w:sz w:val="22"/>
          <w:szCs w:val="22"/>
        </w:rPr>
        <w:t>.</w:t>
      </w:r>
    </w:p>
    <w:p w14:paraId="4F0211CB" w14:textId="77777777" w:rsidR="00C66AFE" w:rsidRPr="00C66AFE" w:rsidRDefault="00C66AFE" w:rsidP="00C66AFE"/>
    <w:p w14:paraId="3E428B0B" w14:textId="30B89C45" w:rsidR="006A34A4" w:rsidRPr="00C66AFE" w:rsidRDefault="00CE2081" w:rsidP="006A34A4">
      <w:pPr>
        <w:pStyle w:val="Nagwek3"/>
        <w:rPr>
          <w:b/>
          <w:bCs/>
          <w:color w:val="auto"/>
        </w:rPr>
      </w:pPr>
      <w:r w:rsidRPr="00CE2081">
        <w:rPr>
          <w:b/>
          <w:bCs/>
          <w:color w:val="auto"/>
        </w:rPr>
        <w:t>Mapa symboli proporcjonalnych</w:t>
      </w:r>
    </w:p>
    <w:p w14:paraId="305D86D4" w14:textId="2FC78AA7" w:rsidR="006A34A4" w:rsidRPr="00F72539" w:rsidRDefault="00CE2081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E2081">
        <w:rPr>
          <w:sz w:val="24"/>
          <w:szCs w:val="24"/>
        </w:rPr>
        <w:t>Pytanie: Który region USA ma największy udział w całkowitej sprzedaży?</w:t>
      </w:r>
      <w:r w:rsidR="002A49DB" w:rsidRPr="002A49DB">
        <w:rPr>
          <w:sz w:val="24"/>
          <w:szCs w:val="24"/>
        </w:rPr>
        <w:t>?</w:t>
      </w:r>
    </w:p>
    <w:p w14:paraId="0B8F0590" w14:textId="6CCA49F9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Otwórz plik </w:t>
      </w:r>
      <w:r w:rsidRPr="00786F3F">
        <w:rPr>
          <w:b/>
          <w:bCs/>
        </w:rPr>
        <w:t>Tableau - maps</w:t>
      </w:r>
    </w:p>
    <w:p w14:paraId="08D51E30" w14:textId="649D3311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Utwórz nowy arkusz i nazwij go </w:t>
      </w:r>
      <w:r w:rsidRPr="00786F3F">
        <w:rPr>
          <w:b/>
          <w:bCs/>
        </w:rPr>
        <w:t xml:space="preserve">Proportional </w:t>
      </w:r>
      <w:r>
        <w:rPr>
          <w:b/>
          <w:bCs/>
        </w:rPr>
        <w:t>map</w:t>
      </w:r>
      <w:r>
        <w:t>.</w:t>
      </w:r>
    </w:p>
    <w:p w14:paraId="72F3C5BE" w14:textId="2118398E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Przeciągnij pole </w:t>
      </w:r>
      <w:r w:rsidRPr="001627A9">
        <w:rPr>
          <w:b/>
          <w:bCs/>
        </w:rPr>
        <w:t>State</w:t>
      </w:r>
      <w:r>
        <w:t xml:space="preserve"> do znacznika </w:t>
      </w:r>
      <w:r w:rsidRPr="001627A9">
        <w:rPr>
          <w:b/>
          <w:bCs/>
        </w:rPr>
        <w:t>Details</w:t>
      </w:r>
      <w:r>
        <w:t>, aby utworzyć mapę.</w:t>
      </w:r>
    </w:p>
    <w:p w14:paraId="5EC6440C" w14:textId="7724D70D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Przeciągnij pole </w:t>
      </w:r>
      <w:r w:rsidRPr="001627A9">
        <w:rPr>
          <w:b/>
          <w:bCs/>
        </w:rPr>
        <w:t>Sales</w:t>
      </w:r>
      <w:r>
        <w:t xml:space="preserve"> do znacznika </w:t>
      </w:r>
      <w:r w:rsidRPr="001627A9">
        <w:rPr>
          <w:b/>
          <w:bCs/>
        </w:rPr>
        <w:t xml:space="preserve">Size </w:t>
      </w:r>
      <w:r>
        <w:t>i zwiększ rozmiar.</w:t>
      </w:r>
    </w:p>
    <w:p w14:paraId="6D2ED8F1" w14:textId="6F8E115C" w:rsidR="00C3704D" w:rsidRPr="007B70FB" w:rsidRDefault="00C3704D" w:rsidP="00786F3F">
      <w:pPr>
        <w:jc w:val="center"/>
      </w:pPr>
      <w:r>
        <w:rPr>
          <w:noProof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0349" w14:textId="77777777" w:rsidR="001627A9" w:rsidRPr="001627A9" w:rsidRDefault="001627A9" w:rsidP="001627A9">
      <w:pPr>
        <w:jc w:val="both"/>
        <w:rPr>
          <w:rFonts w:cstheme="minorHAnsi"/>
        </w:rPr>
      </w:pPr>
      <w:r w:rsidRPr="001627A9">
        <w:rPr>
          <w:rFonts w:cstheme="minorHAnsi"/>
        </w:rPr>
        <w:t>Dodanie pola geograficznego (State) do znacznika Details spowoduje utworzenie mapy, na której każdy stan będzie reprezentowany przez okrąg. Przeciągając miarę (Sales) do znacznika Size, znaczniki okręgów na mapie zmieniają rozmiar, w zależności od udziału w całkowitej sprzedaży.</w:t>
      </w:r>
    </w:p>
    <w:p w14:paraId="2B2483AD" w14:textId="10FBF405" w:rsidR="009304B6" w:rsidRDefault="001627A9" w:rsidP="001627A9">
      <w:pPr>
        <w:jc w:val="both"/>
        <w:rPr>
          <w:rFonts w:cstheme="minorHAnsi"/>
        </w:rPr>
      </w:pPr>
      <w:r w:rsidRPr="001627A9">
        <w:rPr>
          <w:rFonts w:cstheme="minorHAnsi"/>
        </w:rPr>
        <w:t>Patrząc na rozmiar każdego okręgu, można stwierdzić, że północno-wschodnie Stany Zjednoczone mają największy udział w całkowitej sprzedaży</w:t>
      </w:r>
      <w:r w:rsidR="00C12508" w:rsidRPr="00C12508">
        <w:rPr>
          <w:rFonts w:cstheme="minorHAnsi"/>
        </w:rPr>
        <w:t>.</w:t>
      </w:r>
    </w:p>
    <w:p w14:paraId="5A20E34B" w14:textId="2CBFBE37" w:rsidR="003A4A1C" w:rsidRDefault="003A4A1C" w:rsidP="003A4A1C">
      <w:pPr>
        <w:jc w:val="both"/>
      </w:pPr>
    </w:p>
    <w:p w14:paraId="4DE0F16A" w14:textId="77777777" w:rsidR="00927A1C" w:rsidRDefault="00927A1C" w:rsidP="003A4A1C">
      <w:pPr>
        <w:jc w:val="both"/>
      </w:pPr>
    </w:p>
    <w:p w14:paraId="7FA5ABE5" w14:textId="2827839A" w:rsidR="00C76C8D" w:rsidRPr="00C12508" w:rsidRDefault="001627A9" w:rsidP="00C76C8D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Kartogram</w:t>
      </w:r>
    </w:p>
    <w:p w14:paraId="11C06828" w14:textId="128F1201" w:rsidR="00C76C8D" w:rsidRPr="00F72539" w:rsidRDefault="001627A9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1627A9">
        <w:rPr>
          <w:sz w:val="24"/>
          <w:szCs w:val="24"/>
        </w:rPr>
        <w:t>Pytanie: Który stan USA na zachodnim wybrzeżu ma najwyższe łączne zyski?</w:t>
      </w:r>
      <w:r w:rsidR="004C6FE6" w:rsidRPr="004C6FE6">
        <w:rPr>
          <w:sz w:val="24"/>
          <w:szCs w:val="24"/>
        </w:rPr>
        <w:t>?</w:t>
      </w:r>
    </w:p>
    <w:p w14:paraId="6D5561E9" w14:textId="7CA7C5F6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Otwórz nowy arkusz i nazwij go </w:t>
      </w:r>
      <w:r w:rsidRPr="004C6FE6">
        <w:rPr>
          <w:b/>
          <w:bCs/>
        </w:rPr>
        <w:t>Choropleth Map</w:t>
      </w:r>
    </w:p>
    <w:p w14:paraId="7F9A1AF5" w14:textId="03147720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1627A9">
        <w:rPr>
          <w:b/>
          <w:bCs/>
        </w:rPr>
        <w:t>State</w:t>
      </w:r>
      <w:r>
        <w:t xml:space="preserve"> do znacznika </w:t>
      </w:r>
      <w:r w:rsidRPr="001627A9">
        <w:rPr>
          <w:b/>
          <w:bCs/>
        </w:rPr>
        <w:t>Details</w:t>
      </w:r>
      <w:r>
        <w:t>, aby utworzyć mapę.</w:t>
      </w:r>
    </w:p>
    <w:p w14:paraId="10592C7D" w14:textId="7706D603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1627A9">
        <w:rPr>
          <w:b/>
          <w:bCs/>
        </w:rPr>
        <w:t>Profit</w:t>
      </w:r>
      <w:r>
        <w:t xml:space="preserve"> do znacznika </w:t>
      </w:r>
      <w:r w:rsidRPr="001627A9">
        <w:rPr>
          <w:b/>
          <w:bCs/>
        </w:rPr>
        <w:t>Color</w:t>
      </w:r>
      <w:r>
        <w:t xml:space="preserve"> </w:t>
      </w:r>
    </w:p>
    <w:p w14:paraId="3B2560A3" w14:textId="3C06B4BD" w:rsidR="003521E4" w:rsidRDefault="00282754" w:rsidP="004C6FE6">
      <w:pPr>
        <w:jc w:val="center"/>
      </w:pPr>
      <w:r>
        <w:rPr>
          <w:noProof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0313" w14:textId="2D926FD3" w:rsidR="001627A9" w:rsidRDefault="001627A9" w:rsidP="001627A9">
      <w:pPr>
        <w:jc w:val="both"/>
      </w:pPr>
      <w:r>
        <w:t>W przeciwieństwie do wykresów proporcjonalnych, kartogramy pokazują wartości sprzedaży jako odcienie koloru (w tym przypadku niebieskiego), z wyższymi wartościami zysku pokazanymi w kolorze ciemnoniebieskim.</w:t>
      </w:r>
    </w:p>
    <w:p w14:paraId="3991C77F" w14:textId="11CB8CB8" w:rsidR="001627A9" w:rsidRDefault="001627A9" w:rsidP="001627A9">
      <w:pPr>
        <w:jc w:val="both"/>
      </w:pPr>
      <w:r>
        <w:t>Mapa pokazuje, że Kalifornia cechuje się najwyższym zyskiem. Można jednak również zauważyć, że Teksas przynosi spore straty. A co ze sprzedażą?</w:t>
      </w:r>
    </w:p>
    <w:p w14:paraId="57E80D31" w14:textId="498DEA90" w:rsidR="0056094D" w:rsidRDefault="0013474D" w:rsidP="001627A9">
      <w:pPr>
        <w:jc w:val="both"/>
      </w:pPr>
      <w:r>
        <w:t>Kartogramy</w:t>
      </w:r>
      <w:r w:rsidR="001627A9">
        <w:t xml:space="preserve"> są świetne, jeśli chcesz zobaczyć tylko </w:t>
      </w:r>
      <w:r w:rsidR="00C27375">
        <w:t xml:space="preserve">pojedyncze </w:t>
      </w:r>
      <w:r w:rsidR="001627A9">
        <w:t xml:space="preserve">dane liczbowe na mapie. Co jednak, jeśli chcesz wyświetlić dwa pola liczbowe na </w:t>
      </w:r>
      <w:r w:rsidR="00037A17">
        <w:t xml:space="preserve">tym samym </w:t>
      </w:r>
      <w:r w:rsidR="001627A9">
        <w:t>wykresie - sprzedaż i zysk?</w:t>
      </w:r>
      <w:r w:rsidR="0056094D">
        <w:t>?</w:t>
      </w:r>
    </w:p>
    <w:p w14:paraId="5757274F" w14:textId="76BFC784" w:rsidR="00352F69" w:rsidRDefault="00352F69" w:rsidP="00352F6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56094D">
        <w:rPr>
          <w:b/>
          <w:bCs/>
        </w:rPr>
        <w:t>Sales</w:t>
      </w:r>
      <w:r>
        <w:t xml:space="preserve"> do znacznika </w:t>
      </w:r>
      <w:r w:rsidRPr="0056094D">
        <w:rPr>
          <w:b/>
          <w:bCs/>
        </w:rPr>
        <w:t>Size</w:t>
      </w:r>
      <w:r>
        <w:t>.</w:t>
      </w:r>
    </w:p>
    <w:p w14:paraId="3DEEC374" w14:textId="1EED5A12" w:rsidR="00352F69" w:rsidRDefault="00352F69" w:rsidP="00352F69">
      <w:pPr>
        <w:pStyle w:val="Akapitzlist"/>
        <w:numPr>
          <w:ilvl w:val="0"/>
          <w:numId w:val="31"/>
        </w:numPr>
        <w:jc w:val="both"/>
      </w:pPr>
      <w:r>
        <w:t xml:space="preserve">Kliknij znacznik </w:t>
      </w:r>
      <w:r w:rsidRPr="0056094D">
        <w:rPr>
          <w:b/>
          <w:bCs/>
        </w:rPr>
        <w:t>Size</w:t>
      </w:r>
      <w:r>
        <w:t xml:space="preserve">, aby zwiększyć rozmiar okręgu </w:t>
      </w:r>
    </w:p>
    <w:p w14:paraId="2BD9C4AF" w14:textId="1FDCE886" w:rsidR="00C461E0" w:rsidRDefault="00247213" w:rsidP="0056094D">
      <w:pPr>
        <w:jc w:val="center"/>
      </w:pPr>
      <w:r>
        <w:rPr>
          <w:noProof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EFDD" w14:textId="77777777" w:rsidR="001A644E" w:rsidRDefault="001A644E" w:rsidP="00B9413A">
      <w:pPr>
        <w:jc w:val="both"/>
      </w:pPr>
    </w:p>
    <w:p w14:paraId="0FCB19EB" w14:textId="2D04D140" w:rsidR="00D057AD" w:rsidRDefault="00F23604" w:rsidP="00B9413A">
      <w:pPr>
        <w:jc w:val="both"/>
      </w:pPr>
      <w:r w:rsidRPr="00F23604">
        <w:t>Teraz masz zarówno zysk (kolor), jak i sprzedaż (rozmiar koła) w jednym widoku</w:t>
      </w:r>
      <w:r w:rsidR="001A644E" w:rsidRPr="001A644E">
        <w:t>.</w:t>
      </w: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6C542CC6" w:rsidR="00CF78C4" w:rsidRPr="005E2FD4" w:rsidRDefault="005E2FD4" w:rsidP="00CF78C4">
      <w:pPr>
        <w:pStyle w:val="Nagwek2"/>
        <w:rPr>
          <w:color w:val="auto"/>
        </w:rPr>
      </w:pPr>
      <w:r w:rsidRPr="005E2FD4">
        <w:rPr>
          <w:color w:val="auto"/>
        </w:rPr>
        <w:t>Format</w:t>
      </w:r>
      <w:r w:rsidR="00F23604">
        <w:rPr>
          <w:color w:val="auto"/>
        </w:rPr>
        <w:t>owanie</w:t>
      </w:r>
    </w:p>
    <w:p w14:paraId="532EA8C8" w14:textId="14CE5EBD" w:rsidR="006154CB" w:rsidRPr="005E2FD4" w:rsidRDefault="00F23604" w:rsidP="006154CB">
      <w:pPr>
        <w:pStyle w:val="Nagwek3"/>
        <w:rPr>
          <w:b/>
          <w:bCs/>
          <w:color w:val="auto"/>
        </w:rPr>
      </w:pPr>
      <w:r w:rsidRPr="00F23604">
        <w:rPr>
          <w:b/>
          <w:bCs/>
          <w:color w:val="auto"/>
        </w:rPr>
        <w:t>Etykiety</w:t>
      </w:r>
    </w:p>
    <w:p w14:paraId="09405171" w14:textId="34D35A08" w:rsidR="00F23604" w:rsidRP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Załaduj plik </w:t>
      </w:r>
      <w:r w:rsidRPr="00F23604">
        <w:t>Global Superstore</w:t>
      </w:r>
    </w:p>
    <w:p w14:paraId="03810BEF" w14:textId="1D6A86DB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Utwórz nowy arkusz i nadaj mu nazwę </w:t>
      </w:r>
      <w:r w:rsidRPr="00473467">
        <w:rPr>
          <w:b/>
          <w:bCs/>
        </w:rPr>
        <w:t>Labels</w:t>
      </w:r>
    </w:p>
    <w:p w14:paraId="08B385ED" w14:textId="2F64ECAD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lastRenderedPageBreak/>
        <w:t xml:space="preserve">Przeciągnij pole </w:t>
      </w:r>
      <w:r w:rsidRPr="00473467">
        <w:rPr>
          <w:b/>
          <w:bCs/>
        </w:rPr>
        <w:t>Sales</w:t>
      </w:r>
      <w:r>
        <w:t xml:space="preserve"> do wierszy, a </w:t>
      </w:r>
      <w:r w:rsidRPr="00473467">
        <w:rPr>
          <w:b/>
          <w:bCs/>
        </w:rPr>
        <w:t>Order Date</w:t>
      </w:r>
      <w:r>
        <w:t xml:space="preserve"> (wyświetlanie według miesiąca, ciągłe) do kolumn.</w:t>
      </w:r>
    </w:p>
    <w:p w14:paraId="24D3ED7A" w14:textId="2A3C1BB9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Przeciągnij pole </w:t>
      </w:r>
      <w:r w:rsidRPr="00473467">
        <w:rPr>
          <w:b/>
          <w:bCs/>
        </w:rPr>
        <w:t xml:space="preserve">Region </w:t>
      </w:r>
      <w:r>
        <w:t>do znacznika</w:t>
      </w:r>
      <w:r w:rsidR="00473467">
        <w:t xml:space="preserve"> </w:t>
      </w:r>
      <w:r w:rsidR="00473467" w:rsidRPr="00473467">
        <w:rPr>
          <w:b/>
          <w:bCs/>
        </w:rPr>
        <w:t>Color</w:t>
      </w:r>
      <w:r w:rsidRPr="00473467">
        <w:rPr>
          <w:b/>
          <w:bCs/>
        </w:rPr>
        <w:t xml:space="preserve"> </w:t>
      </w:r>
    </w:p>
    <w:p w14:paraId="07BF4049" w14:textId="1EC0672F" w:rsidR="006C772A" w:rsidRDefault="00B916E5" w:rsidP="00305861">
      <w:pPr>
        <w:jc w:val="center"/>
      </w:pPr>
      <w:r>
        <w:rPr>
          <w:noProof/>
        </w:rPr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80CB" w14:textId="697DBFDE" w:rsidR="00473467" w:rsidRDefault="00473467" w:rsidP="006A3D0B">
      <w:pPr>
        <w:pStyle w:val="Akapitzlist"/>
        <w:numPr>
          <w:ilvl w:val="0"/>
          <w:numId w:val="32"/>
        </w:numPr>
        <w:jc w:val="both"/>
      </w:pPr>
      <w:r w:rsidRPr="00473467">
        <w:t xml:space="preserve">Kliknij znacznik </w:t>
      </w:r>
      <w:r w:rsidRPr="00B017B3">
        <w:rPr>
          <w:b/>
          <w:bCs/>
        </w:rPr>
        <w:t>Label</w:t>
      </w:r>
      <w:r w:rsidRPr="00473467">
        <w:t xml:space="preserve"> i wybierz opcję </w:t>
      </w:r>
      <w:r w:rsidRPr="00B017B3">
        <w:rPr>
          <w:b/>
          <w:bCs/>
        </w:rPr>
        <w:t>Show mark labels</w:t>
      </w:r>
    </w:p>
    <w:p w14:paraId="790F1B62" w14:textId="1BDEC4D5" w:rsidR="00A56F19" w:rsidRDefault="00473467" w:rsidP="00A56F19">
      <w:pPr>
        <w:jc w:val="both"/>
      </w:pPr>
      <w:r w:rsidRPr="00473467">
        <w:t>Teraz na szczytach wykresu liniowego wyświetlane są wartości sprzedaży. Etykiety są wyświetlane tylko na tych wierzchołkach, na których tekst nie nakłada się i po których wizualizacja wygląda przejrzyście</w:t>
      </w:r>
      <w:r w:rsidR="00A56F19">
        <w:t>.</w:t>
      </w:r>
    </w:p>
    <w:p w14:paraId="5C56F25B" w14:textId="41A92EAD" w:rsidR="00473467" w:rsidRDefault="00473467" w:rsidP="006A3D0B">
      <w:pPr>
        <w:pStyle w:val="Akapitzlist"/>
        <w:numPr>
          <w:ilvl w:val="0"/>
          <w:numId w:val="24"/>
        </w:numPr>
        <w:jc w:val="both"/>
      </w:pPr>
      <w:r w:rsidRPr="00473467">
        <w:t xml:space="preserve">Jeśli chcesz zawsze (lub nigdy) widzieć określoną etykietę, kliknij prawym przyciskiem myszy żądany punkt na wykresie (górną część linii), wybierz opcję </w:t>
      </w:r>
      <w:r w:rsidRPr="003B5A30">
        <w:rPr>
          <w:b/>
          <w:bCs/>
        </w:rPr>
        <w:t>Mark label</w:t>
      </w:r>
      <w:r>
        <w:t xml:space="preserve"> </w:t>
      </w:r>
      <w:r w:rsidRPr="00473467">
        <w:t xml:space="preserve">i zaznacz żądaną opcję, np. </w:t>
      </w:r>
      <w:r w:rsidRPr="003B5A30">
        <w:rPr>
          <w:b/>
          <w:bCs/>
        </w:rPr>
        <w:t>Always show</w:t>
      </w:r>
    </w:p>
    <w:p w14:paraId="0FAAE206" w14:textId="77777777" w:rsidR="00A56F19" w:rsidRPr="00A56F19" w:rsidRDefault="00A56F19" w:rsidP="00A56F19">
      <w:pPr>
        <w:jc w:val="both"/>
        <w:rPr>
          <w:b/>
          <w:bCs/>
        </w:rPr>
      </w:pPr>
    </w:p>
    <w:p w14:paraId="668EC2C5" w14:textId="77777777" w:rsidR="00473467" w:rsidRDefault="00473467" w:rsidP="00580B9B">
      <w:pPr>
        <w:pStyle w:val="Nagwek3"/>
        <w:rPr>
          <w:b/>
          <w:bCs/>
          <w:color w:val="auto"/>
        </w:rPr>
      </w:pPr>
      <w:r w:rsidRPr="00473467">
        <w:rPr>
          <w:b/>
          <w:bCs/>
          <w:color w:val="auto"/>
        </w:rPr>
        <w:t>Adnotacje</w:t>
      </w:r>
    </w:p>
    <w:p w14:paraId="66A6FA3D" w14:textId="7E732B7F" w:rsidR="00B513A9" w:rsidRDefault="00473467" w:rsidP="00580B9B">
      <w:pPr>
        <w:pStyle w:val="Nagwek3"/>
        <w:rPr>
          <w:rFonts w:cstheme="minorBidi"/>
          <w:color w:val="auto"/>
          <w:sz w:val="22"/>
          <w:szCs w:val="22"/>
        </w:rPr>
      </w:pPr>
      <w:r w:rsidRPr="00473467">
        <w:rPr>
          <w:rFonts w:cstheme="minorBidi"/>
          <w:color w:val="auto"/>
          <w:sz w:val="22"/>
          <w:szCs w:val="22"/>
        </w:rPr>
        <w:t>Adnotacje reprezentują tekst, który wyjaśnia pewne zjawisko lub znak na wykresie. Istnieje kilka rodzajów adnotacji</w:t>
      </w:r>
      <w:r w:rsidR="00B513A9" w:rsidRPr="00B513A9">
        <w:rPr>
          <w:rFonts w:cstheme="minorBidi"/>
          <w:color w:val="auto"/>
          <w:sz w:val="22"/>
          <w:szCs w:val="22"/>
        </w:rPr>
        <w:t>.</w:t>
      </w:r>
    </w:p>
    <w:p w14:paraId="6A798242" w14:textId="77777777" w:rsidR="00473467" w:rsidRDefault="00473467" w:rsidP="00B513A9">
      <w:pPr>
        <w:jc w:val="both"/>
        <w:rPr>
          <w:rFonts w:cstheme="minorHAnsi"/>
          <w:b/>
          <w:bCs/>
          <w:sz w:val="24"/>
          <w:szCs w:val="24"/>
        </w:rPr>
      </w:pPr>
      <w:r w:rsidRPr="00473467">
        <w:rPr>
          <w:rFonts w:cstheme="minorHAnsi"/>
          <w:b/>
          <w:bCs/>
          <w:sz w:val="24"/>
          <w:szCs w:val="24"/>
        </w:rPr>
        <w:t>Oznaczanie adnotacji</w:t>
      </w:r>
    </w:p>
    <w:p w14:paraId="21CB94CB" w14:textId="12D642A7" w:rsidR="00B513A9" w:rsidRDefault="004610A8" w:rsidP="00B513A9">
      <w:pPr>
        <w:jc w:val="both"/>
      </w:pPr>
      <w:r w:rsidRPr="004610A8">
        <w:t>Adnotacje znaczników są powiązane ze znacznikami (punktami) na wykresie</w:t>
      </w:r>
      <w:r w:rsidR="00B513A9">
        <w:t>.</w:t>
      </w:r>
    </w:p>
    <w:p w14:paraId="76B8B575" w14:textId="0E69EC75" w:rsid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Otwórz arkusz </w:t>
      </w:r>
      <w:r w:rsidRPr="004610A8">
        <w:rPr>
          <w:b/>
          <w:bCs/>
        </w:rPr>
        <w:t>Labels</w:t>
      </w:r>
    </w:p>
    <w:p w14:paraId="55913034" w14:textId="77777777" w:rsidR="004610A8" w:rsidRP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Przeciągnij pole </w:t>
      </w:r>
      <w:r w:rsidRPr="004610A8">
        <w:rPr>
          <w:b/>
          <w:bCs/>
        </w:rPr>
        <w:t>Region</w:t>
      </w:r>
      <w:r>
        <w:t xml:space="preserve"> do filtra i filtruj tylko region </w:t>
      </w:r>
      <w:r w:rsidRPr="004610A8">
        <w:rPr>
          <w:b/>
          <w:bCs/>
        </w:rPr>
        <w:t>Central</w:t>
      </w:r>
    </w:p>
    <w:p w14:paraId="1BA966DA" w14:textId="5A8258B0" w:rsidR="004610A8" w:rsidRP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Kliknij prawym przyciskiem myszy znacznik September 2011 i wybierz polecenie </w:t>
      </w:r>
      <w:r w:rsidRPr="004610A8">
        <w:rPr>
          <w:b/>
          <w:bCs/>
        </w:rPr>
        <w:t>Annotate &gt; Mark</w:t>
      </w:r>
    </w:p>
    <w:p w14:paraId="4083769B" w14:textId="3184F0B2" w:rsid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Otworzy się okno wprowadzania tekstu adnotacji. Klikając przycisk </w:t>
      </w:r>
      <w:r w:rsidRPr="004610A8">
        <w:rPr>
          <w:b/>
          <w:bCs/>
        </w:rPr>
        <w:t>Insert</w:t>
      </w:r>
      <w:r>
        <w:t>, można również wstawić do tekstu pola używane w wizualizacji. Wprowadź tekst pokazany na ilustracji</w:t>
      </w:r>
    </w:p>
    <w:p w14:paraId="7DF0B38E" w14:textId="52983A3A" w:rsidR="00DC6634" w:rsidRDefault="00CE2C5C" w:rsidP="00B513A9">
      <w:pPr>
        <w:jc w:val="center"/>
      </w:pPr>
      <w:r>
        <w:rPr>
          <w:noProof/>
        </w:rPr>
        <w:lastRenderedPageBreak/>
        <w:drawing>
          <wp:inline distT="0" distB="0" distL="0" distR="0" wp14:anchorId="34FEAB4C" wp14:editId="2E99344E">
            <wp:extent cx="4767580" cy="1542709"/>
            <wp:effectExtent l="0" t="0" r="0" b="635"/>
            <wp:docPr id="638223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2312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4998" cy="15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A043" w14:textId="6DE00D2F" w:rsidR="00580E13" w:rsidRDefault="004610A8" w:rsidP="00580E13">
      <w:pPr>
        <w:jc w:val="both"/>
      </w:pPr>
      <w:r w:rsidRPr="004610A8">
        <w:t>Teraz adnotacja powiązana z etykietą jest również wyświetlana na wykresie</w:t>
      </w:r>
      <w:r w:rsidR="00580E13" w:rsidRPr="00580E13">
        <w:t>.</w:t>
      </w:r>
    </w:p>
    <w:p w14:paraId="216F8904" w14:textId="2FADDBAE" w:rsidR="00CE56EB" w:rsidRPr="00D001D2" w:rsidRDefault="0072396F" w:rsidP="00CE56EB">
      <w:pPr>
        <w:jc w:val="center"/>
      </w:pPr>
      <w:r>
        <w:rPr>
          <w:noProof/>
        </w:rPr>
        <w:drawing>
          <wp:inline distT="0" distB="0" distL="0" distR="0" wp14:anchorId="3BD17887" wp14:editId="2289D48D">
            <wp:extent cx="4378755" cy="1647825"/>
            <wp:effectExtent l="0" t="0" r="3175" b="0"/>
            <wp:docPr id="103531509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1509" name="Picture 1" descr="A graph with orange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469" cy="16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5D3EAF58" w:rsidR="008570B1" w:rsidRPr="00580E13" w:rsidRDefault="004610A8" w:rsidP="008570B1">
      <w:pPr>
        <w:pStyle w:val="Nagwek3"/>
        <w:rPr>
          <w:b/>
          <w:bCs/>
          <w:color w:val="auto"/>
          <w:sz w:val="24"/>
          <w:szCs w:val="24"/>
        </w:rPr>
      </w:pPr>
      <w:r w:rsidRPr="004610A8">
        <w:rPr>
          <w:b/>
          <w:bCs/>
          <w:color w:val="auto"/>
          <w:sz w:val="24"/>
          <w:szCs w:val="24"/>
        </w:rPr>
        <w:t>Adnotacje punktowe</w:t>
      </w:r>
    </w:p>
    <w:p w14:paraId="041CCD29" w14:textId="67590501" w:rsidR="005B1A42" w:rsidRDefault="004610A8" w:rsidP="003305ED">
      <w:pPr>
        <w:jc w:val="both"/>
      </w:pPr>
      <w:r w:rsidRPr="004610A8">
        <w:t>Adnotacje punktowe pozostają w pozycji względnej, niezależnie od znacznika na wykresie i mogą być umieszczane poza wykresem.</w:t>
      </w:r>
    </w:p>
    <w:p w14:paraId="5606F3AC" w14:textId="5D21ED4D" w:rsidR="004610A8" w:rsidRPr="004610A8" w:rsidRDefault="004610A8" w:rsidP="004610A8">
      <w:pPr>
        <w:pStyle w:val="Akapitzlist"/>
        <w:numPr>
          <w:ilvl w:val="0"/>
          <w:numId w:val="34"/>
        </w:numPr>
        <w:jc w:val="both"/>
        <w:rPr>
          <w:b/>
          <w:bCs/>
        </w:rPr>
      </w:pPr>
      <w:r>
        <w:t xml:space="preserve">Kliknij prawym przyciskiem myszy w dowolnym miejscu wykresu i wybierz polecenie </w:t>
      </w:r>
      <w:r w:rsidRPr="004610A8">
        <w:rPr>
          <w:b/>
          <w:bCs/>
        </w:rPr>
        <w:t>Adnotacje &gt; Punkt</w:t>
      </w:r>
    </w:p>
    <w:p w14:paraId="4F5E1503" w14:textId="79997910" w:rsidR="004610A8" w:rsidRDefault="004610A8" w:rsidP="004610A8">
      <w:pPr>
        <w:pStyle w:val="Akapitzlist"/>
        <w:numPr>
          <w:ilvl w:val="0"/>
          <w:numId w:val="34"/>
        </w:numPr>
        <w:jc w:val="both"/>
      </w:pPr>
      <w:r>
        <w:t xml:space="preserve">Zostanie otwarte pole tekstowe służące do formatowania adnotacji. Do formatowania adnotacji można używać tylko pól znajdujących się w kolumnach i wierszach </w:t>
      </w:r>
    </w:p>
    <w:p w14:paraId="5159EDF5" w14:textId="2D4DE640" w:rsidR="0083139D" w:rsidRDefault="00C070D6" w:rsidP="00F34751">
      <w:pPr>
        <w:ind w:left="360"/>
        <w:jc w:val="center"/>
      </w:pPr>
      <w:r>
        <w:rPr>
          <w:noProof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59F05A1C" w:rsidR="0080712D" w:rsidRPr="00F34751" w:rsidRDefault="004610A8" w:rsidP="0080712D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Podpowiedzi</w:t>
      </w:r>
    </w:p>
    <w:p w14:paraId="53434AE6" w14:textId="38E2B47F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Utwórz nowy arkusz i nazwij go </w:t>
      </w:r>
      <w:r w:rsidRPr="006F3E91">
        <w:rPr>
          <w:b/>
          <w:bCs/>
        </w:rPr>
        <w:t>Tooltip</w:t>
      </w:r>
    </w:p>
    <w:p w14:paraId="579D49CC" w14:textId="3238BB49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Przytrzymaj klawisz CTRL i wybierz pola </w:t>
      </w:r>
      <w:r w:rsidRPr="0016079E">
        <w:rPr>
          <w:b/>
          <w:bCs/>
        </w:rPr>
        <w:t>Sales</w:t>
      </w:r>
      <w:r>
        <w:t xml:space="preserve"> i </w:t>
      </w:r>
      <w:r w:rsidRPr="0016079E">
        <w:rPr>
          <w:b/>
          <w:bCs/>
        </w:rPr>
        <w:t>Profit</w:t>
      </w:r>
    </w:p>
    <w:p w14:paraId="4824F4B2" w14:textId="03D8E0E7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Kliknij przycisk </w:t>
      </w:r>
      <w:r w:rsidRPr="0016079E">
        <w:rPr>
          <w:b/>
          <w:bCs/>
        </w:rPr>
        <w:t>Show me</w:t>
      </w:r>
      <w:r>
        <w:t xml:space="preserve"> i wybierz opcję </w:t>
      </w:r>
      <w:r>
        <w:rPr>
          <w:b/>
          <w:bCs/>
        </w:rPr>
        <w:t>Wykres punktowy</w:t>
      </w:r>
    </w:p>
    <w:p w14:paraId="4CCC257C" w14:textId="75DB9465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Przeciągnij pole </w:t>
      </w:r>
      <w:r w:rsidRPr="00082F54">
        <w:rPr>
          <w:b/>
          <w:bCs/>
        </w:rPr>
        <w:t>Order Priority</w:t>
      </w:r>
      <w:r>
        <w:t xml:space="preserve"> do znacznika </w:t>
      </w:r>
      <w:r w:rsidRPr="00082F54">
        <w:rPr>
          <w:b/>
          <w:bCs/>
        </w:rPr>
        <w:t>Color</w:t>
      </w:r>
      <w:r>
        <w:t xml:space="preserve">, a pola </w:t>
      </w:r>
      <w:r w:rsidRPr="00082F54">
        <w:rPr>
          <w:b/>
          <w:bCs/>
        </w:rPr>
        <w:t>Orders (Count)</w:t>
      </w:r>
      <w:r>
        <w:t xml:space="preserve"> i </w:t>
      </w:r>
      <w:r w:rsidRPr="00082F54">
        <w:rPr>
          <w:b/>
          <w:bCs/>
        </w:rPr>
        <w:t>Market</w:t>
      </w:r>
      <w:r>
        <w:t xml:space="preserve"> do znacznika </w:t>
      </w:r>
      <w:r w:rsidRPr="00082F54">
        <w:rPr>
          <w:b/>
          <w:bCs/>
        </w:rPr>
        <w:t>Detail</w:t>
      </w:r>
    </w:p>
    <w:p w14:paraId="0EB8DA8A" w14:textId="50630A42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Zmień wykres z </w:t>
      </w:r>
      <w:r w:rsidR="00082F54" w:rsidRPr="0016079E">
        <w:rPr>
          <w:b/>
          <w:bCs/>
        </w:rPr>
        <w:t>Automatic</w:t>
      </w:r>
      <w:r w:rsidR="00082F54">
        <w:t xml:space="preserve"> na </w:t>
      </w:r>
      <w:r w:rsidR="00082F54" w:rsidRPr="0016079E">
        <w:rPr>
          <w:b/>
          <w:bCs/>
        </w:rPr>
        <w:t>Circle</w:t>
      </w:r>
      <w:r w:rsidR="00082F54">
        <w:t xml:space="preserve"> </w:t>
      </w:r>
      <w:r>
        <w:t>i zwiększ rozmiar okręgów</w:t>
      </w:r>
    </w:p>
    <w:p w14:paraId="33C3C293" w14:textId="78961EB9" w:rsidR="00443167" w:rsidRDefault="00507198" w:rsidP="0016079E">
      <w:pPr>
        <w:jc w:val="center"/>
      </w:pPr>
      <w:r>
        <w:rPr>
          <w:noProof/>
        </w:rPr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4092" w14:textId="0B7BCB05" w:rsidR="007B1382" w:rsidRDefault="00082F54" w:rsidP="007B1382">
      <w:pPr>
        <w:jc w:val="both"/>
      </w:pPr>
      <w:r w:rsidRPr="00082F54">
        <w:t xml:space="preserve">Po najechaniu kursorem myszy na jeden z okręgów zostanie wyświetlona etykietka z informacjami. Podpowiedź zawiera wszystkie pola, które znajdują się również na wizualizacji (w wierszach </w:t>
      </w:r>
      <w:r w:rsidR="00D06DD5">
        <w:br/>
      </w:r>
      <w:r w:rsidRPr="00082F54">
        <w:t xml:space="preserve">i kolumnach, sekcja </w:t>
      </w:r>
      <w:r w:rsidR="00D06DD5" w:rsidRPr="007B1382">
        <w:rPr>
          <w:b/>
          <w:bCs/>
        </w:rPr>
        <w:t>Marks</w:t>
      </w:r>
      <w:r w:rsidR="007B1382">
        <w:t>).</w:t>
      </w:r>
    </w:p>
    <w:p w14:paraId="5EBA6B71" w14:textId="64B6BFCA" w:rsidR="00A35A65" w:rsidRDefault="00A35A65" w:rsidP="00A35A65">
      <w:pPr>
        <w:pStyle w:val="Akapitzlist"/>
        <w:numPr>
          <w:ilvl w:val="0"/>
          <w:numId w:val="35"/>
        </w:numPr>
        <w:jc w:val="both"/>
      </w:pPr>
      <w:r>
        <w:t xml:space="preserve">Po lewej stronie, w sekcji </w:t>
      </w:r>
      <w:r w:rsidRPr="007B1382">
        <w:rPr>
          <w:b/>
          <w:bCs/>
        </w:rPr>
        <w:t>Marks</w:t>
      </w:r>
      <w:r>
        <w:t xml:space="preserve">, kliknij znacznik </w:t>
      </w:r>
      <w:r w:rsidRPr="007B1382">
        <w:rPr>
          <w:b/>
          <w:bCs/>
        </w:rPr>
        <w:t>Tooltip</w:t>
      </w:r>
    </w:p>
    <w:p w14:paraId="1C72FA94" w14:textId="62E9243A" w:rsidR="00A35A65" w:rsidRDefault="00A35A65" w:rsidP="00A35A65">
      <w:pPr>
        <w:pStyle w:val="Akapitzlist"/>
        <w:numPr>
          <w:ilvl w:val="0"/>
          <w:numId w:val="35"/>
        </w:numPr>
        <w:jc w:val="both"/>
      </w:pPr>
      <w:r>
        <w:t xml:space="preserve">Otworzy się okno edycji etykiety narzędzia. Zmień etykietkę w następujący sposób </w:t>
      </w:r>
    </w:p>
    <w:p w14:paraId="5F358262" w14:textId="0E0E583B" w:rsidR="00B33CA1" w:rsidRDefault="00883865" w:rsidP="007B1382">
      <w:pPr>
        <w:jc w:val="center"/>
      </w:pPr>
      <w:r>
        <w:rPr>
          <w:noProof/>
        </w:rPr>
        <w:lastRenderedPageBreak/>
        <w:drawing>
          <wp:inline distT="0" distB="0" distL="0" distR="0" wp14:anchorId="575B79B1" wp14:editId="2CF3FDEF">
            <wp:extent cx="5191125" cy="2124075"/>
            <wp:effectExtent l="0" t="0" r="9525" b="9525"/>
            <wp:docPr id="1131429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2952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D410" w14:textId="1735DD39" w:rsidR="00272C19" w:rsidRDefault="00A35A65" w:rsidP="00272C19">
      <w:pPr>
        <w:jc w:val="both"/>
      </w:pPr>
      <w:r w:rsidRPr="00A35A65">
        <w:t>Kliknięcie określonego okręgu na wykresie spowoduje wyświetlenie podpowiedzi</w:t>
      </w:r>
      <w:r w:rsidR="00272C19" w:rsidRPr="00272C19">
        <w:t>.</w:t>
      </w:r>
    </w:p>
    <w:p w14:paraId="4D93D191" w14:textId="55435A44" w:rsidR="00380CFA" w:rsidRDefault="00D719D8" w:rsidP="004F1682">
      <w:pPr>
        <w:jc w:val="center"/>
      </w:pPr>
      <w:r>
        <w:rPr>
          <w:noProof/>
        </w:rPr>
        <w:drawing>
          <wp:inline distT="0" distB="0" distL="0" distR="0" wp14:anchorId="13EAC9F5" wp14:editId="10C01B15">
            <wp:extent cx="5760720" cy="3253740"/>
            <wp:effectExtent l="0" t="0" r="0" b="3810"/>
            <wp:docPr id="1490321128" name="Picture 1" descr="A graph with number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21128" name="Picture 1" descr="A graph with numbers and dot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A11516" w:rsidR="007740A7" w:rsidRPr="00272C19" w:rsidRDefault="00A35A65" w:rsidP="007740A7">
      <w:pPr>
        <w:pStyle w:val="Nagwek3"/>
        <w:rPr>
          <w:b/>
          <w:bCs/>
          <w:color w:val="auto"/>
        </w:rPr>
      </w:pPr>
      <w:r w:rsidRPr="00A35A65">
        <w:rPr>
          <w:b/>
          <w:bCs/>
          <w:color w:val="auto"/>
        </w:rPr>
        <w:t>Dynamiczne tytuły</w:t>
      </w:r>
    </w:p>
    <w:p w14:paraId="0BA8B071" w14:textId="77A6C8C8" w:rsidR="00B04E64" w:rsidRDefault="0032502D" w:rsidP="00B04E64">
      <w:pPr>
        <w:jc w:val="both"/>
      </w:pPr>
      <w:r w:rsidRPr="0032502D">
        <w:t>Domyślnie tytuł każdej wizualizacji jest pobierany z nazwy arkusza. Tytuły wizualizacji mogą być jednak stałe, tzn. można wprowadzać dowolne tytuły, ale mogą też być dynamiczne, co oznacza, że zmieniają się wraz ze zmianą określonego elementu</w:t>
      </w:r>
      <w:r w:rsidR="00B04E64">
        <w:t>.</w:t>
      </w:r>
    </w:p>
    <w:p w14:paraId="3CE97376" w14:textId="6705A28F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 xml:space="preserve">Otwórz arkusz </w:t>
      </w:r>
      <w:r w:rsidRPr="0032502D">
        <w:rPr>
          <w:b/>
          <w:bCs/>
        </w:rPr>
        <w:t>Labels</w:t>
      </w:r>
    </w:p>
    <w:p w14:paraId="62FF57B9" w14:textId="1A812F13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 xml:space="preserve">Kliknij prawym przyciskiem myszy pole </w:t>
      </w:r>
      <w:r w:rsidRPr="0032502D">
        <w:rPr>
          <w:b/>
          <w:bCs/>
        </w:rPr>
        <w:t>Region</w:t>
      </w:r>
      <w:r>
        <w:t xml:space="preserve"> w </w:t>
      </w:r>
      <w:r w:rsidRPr="0032502D">
        <w:rPr>
          <w:b/>
          <w:bCs/>
        </w:rPr>
        <w:t>Filter</w:t>
      </w:r>
      <w:r>
        <w:t xml:space="preserve"> i wybierz </w:t>
      </w:r>
      <w:r w:rsidRPr="0032502D">
        <w:rPr>
          <w:b/>
          <w:bCs/>
        </w:rPr>
        <w:t>Show Filter</w:t>
      </w:r>
    </w:p>
    <w:p w14:paraId="78D53696" w14:textId="7987D906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>Kliknij dwukrotnie tytuł wizualizacji (Labels)</w:t>
      </w:r>
    </w:p>
    <w:p w14:paraId="3A3038F3" w14:textId="6B9DA99F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>Otworzy się okno edycji tytułu. Zmodyfikuj go w następujący sposób</w:t>
      </w:r>
    </w:p>
    <w:p w14:paraId="40A428BC" w14:textId="33E8ACDE" w:rsidR="00145C33" w:rsidRDefault="009B24A3" w:rsidP="00B04E64">
      <w:pPr>
        <w:jc w:val="center"/>
      </w:pPr>
      <w:r>
        <w:rPr>
          <w:noProof/>
        </w:rPr>
        <w:lastRenderedPageBreak/>
        <w:drawing>
          <wp:inline distT="0" distB="0" distL="0" distR="0" wp14:anchorId="003C8909" wp14:editId="4F48B156">
            <wp:extent cx="4743450" cy="1476898"/>
            <wp:effectExtent l="0" t="0" r="0" b="9525"/>
            <wp:docPr id="19808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42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0449" cy="14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05D9F08E" w14:textId="7AAC511E" w:rsidR="002D3696" w:rsidRDefault="0032502D" w:rsidP="002D3696">
      <w:pPr>
        <w:jc w:val="both"/>
      </w:pPr>
      <w:r w:rsidRPr="0032502D">
        <w:t>Teraz tytuł zmienia się, gdy dane są filtrowane według regionu</w:t>
      </w:r>
      <w:r w:rsidR="002D3696" w:rsidRPr="002D3696">
        <w:t>.</w:t>
      </w:r>
    </w:p>
    <w:p w14:paraId="765A2B51" w14:textId="0B2C510E" w:rsidR="00CA0C4C" w:rsidRPr="006E0A62" w:rsidRDefault="00C50F30" w:rsidP="004F1682">
      <w:pPr>
        <w:jc w:val="center"/>
      </w:pPr>
      <w:r>
        <w:rPr>
          <w:noProof/>
        </w:rPr>
        <w:drawing>
          <wp:inline distT="0" distB="0" distL="0" distR="0" wp14:anchorId="3E2E32BE" wp14:editId="615FF651">
            <wp:extent cx="5428179" cy="1409700"/>
            <wp:effectExtent l="0" t="0" r="1270" b="0"/>
            <wp:docPr id="9322936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936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860" cy="14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223E910F" w14:textId="610FBAC7" w:rsidR="002D3696" w:rsidRPr="002D3696" w:rsidRDefault="0032502D" w:rsidP="002D3696">
      <w:pPr>
        <w:rPr>
          <w:b/>
          <w:bCs/>
        </w:rPr>
      </w:pPr>
      <w:r w:rsidRPr="0032502D">
        <w:rPr>
          <w:rFonts w:cstheme="minorHAnsi"/>
          <w:b/>
          <w:bCs/>
          <w:sz w:val="28"/>
          <w:szCs w:val="28"/>
        </w:rPr>
        <w:t>Umieszczanie nazw obok samych linii na wykresie</w:t>
      </w:r>
    </w:p>
    <w:p w14:paraId="710DAC99" w14:textId="7DE159C0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Otwórz nowy arkusz roboczy i nazwij go </w:t>
      </w:r>
      <w:r w:rsidRPr="005F3427">
        <w:rPr>
          <w:b/>
          <w:bCs/>
        </w:rPr>
        <w:t>Profit by Category</w:t>
      </w:r>
    </w:p>
    <w:p w14:paraId="34A34C90" w14:textId="493D1F00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Przeciągnij pole </w:t>
      </w:r>
      <w:r w:rsidRPr="0032502D">
        <w:rPr>
          <w:b/>
          <w:bCs/>
        </w:rPr>
        <w:t>Order Date</w:t>
      </w:r>
      <w:r>
        <w:t xml:space="preserve"> do kolumn, a </w:t>
      </w:r>
      <w:r w:rsidRPr="0032502D">
        <w:rPr>
          <w:b/>
          <w:bCs/>
        </w:rPr>
        <w:t>Profit</w:t>
      </w:r>
      <w:r>
        <w:t xml:space="preserve"> do wierszy</w:t>
      </w:r>
    </w:p>
    <w:p w14:paraId="77BD0833" w14:textId="4FB0320A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Pole </w:t>
      </w:r>
      <w:r w:rsidRPr="0032502D">
        <w:rPr>
          <w:b/>
          <w:bCs/>
        </w:rPr>
        <w:t>Order Date</w:t>
      </w:r>
      <w:r>
        <w:t xml:space="preserve"> powinno być ciągłe i pokazywać rok.</w:t>
      </w:r>
    </w:p>
    <w:p w14:paraId="3931C117" w14:textId="15AF9412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Przeciągnij pole </w:t>
      </w:r>
      <w:r w:rsidRPr="005F3427">
        <w:rPr>
          <w:b/>
          <w:bCs/>
        </w:rPr>
        <w:t>Category</w:t>
      </w:r>
      <w:r>
        <w:t xml:space="preserve"> na znacznik </w:t>
      </w:r>
      <w:r w:rsidRPr="005F3427">
        <w:rPr>
          <w:b/>
          <w:bCs/>
        </w:rPr>
        <w:t>Color</w:t>
      </w:r>
    </w:p>
    <w:p w14:paraId="644AA0B9" w14:textId="4F7C9B6D" w:rsidR="00594DAE" w:rsidRDefault="00090AFC" w:rsidP="005F342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B628" w14:textId="7B8FB4CC" w:rsidR="00FB4F8A" w:rsidRPr="00FB4F8A" w:rsidRDefault="00FB4F8A" w:rsidP="00FB4F8A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 xml:space="preserve">Ponownie przeciągnij pole </w:t>
      </w:r>
      <w:r w:rsidRPr="005F3427">
        <w:rPr>
          <w:rFonts w:cstheme="minorHAnsi"/>
          <w:b/>
          <w:bCs/>
        </w:rPr>
        <w:t>Category</w:t>
      </w:r>
      <w:r w:rsidRPr="00FB4F8A">
        <w:rPr>
          <w:rFonts w:cstheme="minorHAnsi"/>
        </w:rPr>
        <w:t xml:space="preserve"> do znacznika </w:t>
      </w:r>
      <w:r w:rsidRPr="005F3427">
        <w:rPr>
          <w:rFonts w:cstheme="minorHAnsi"/>
          <w:b/>
          <w:bCs/>
        </w:rPr>
        <w:t>Label</w:t>
      </w:r>
    </w:p>
    <w:p w14:paraId="1D2D700C" w14:textId="4C37370A" w:rsidR="00FB4F8A" w:rsidRDefault="00FB4F8A" w:rsidP="00FB4F8A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 xml:space="preserve">Kliknij znacznik </w:t>
      </w:r>
      <w:r w:rsidRPr="005F3427">
        <w:rPr>
          <w:rFonts w:cstheme="minorHAnsi"/>
          <w:b/>
          <w:bCs/>
        </w:rPr>
        <w:t>Label</w:t>
      </w:r>
      <w:r w:rsidRPr="00FB4F8A">
        <w:rPr>
          <w:rFonts w:cstheme="minorHAnsi"/>
        </w:rPr>
        <w:t xml:space="preserve"> i edytuj czcionkę w oknie, które zostanie otwarte. </w:t>
      </w:r>
    </w:p>
    <w:p w14:paraId="49CB18DA" w14:textId="693A6B30" w:rsidR="00FB4F8A" w:rsidRPr="00FB4F8A" w:rsidRDefault="00FB4F8A" w:rsidP="00FB4F8A">
      <w:pPr>
        <w:pStyle w:val="Akapitzlist"/>
        <w:numPr>
          <w:ilvl w:val="1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>Ustaw rozmiar na 11 i pogrub go</w:t>
      </w:r>
    </w:p>
    <w:p w14:paraId="5A134AAC" w14:textId="391A2E28" w:rsidR="00FB4F8A" w:rsidRDefault="00FB4F8A" w:rsidP="00FB4F8A">
      <w:pPr>
        <w:pStyle w:val="Akapitzlist"/>
        <w:numPr>
          <w:ilvl w:val="1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lastRenderedPageBreak/>
        <w:t xml:space="preserve">Wybierz opcję </w:t>
      </w:r>
      <w:r w:rsidRPr="005F3427">
        <w:rPr>
          <w:rFonts w:cstheme="minorHAnsi"/>
          <w:b/>
          <w:bCs/>
        </w:rPr>
        <w:t>Match Mark Color</w:t>
      </w:r>
    </w:p>
    <w:p w14:paraId="785F1426" w14:textId="76F9BB0C" w:rsidR="004F1682" w:rsidRDefault="00760915" w:rsidP="005F3427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FC82356" wp14:editId="34AA059A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E011" w14:textId="78776A23" w:rsidR="000C4290" w:rsidRDefault="000C4290" w:rsidP="002C5C04">
      <w:r>
        <w:rPr>
          <w:rFonts w:cstheme="minorHAnsi"/>
        </w:rPr>
        <w:t xml:space="preserve"> </w:t>
      </w:r>
    </w:p>
    <w:p w14:paraId="3622374A" w14:textId="1CBEFED8" w:rsidR="00B23701" w:rsidRPr="005F3427" w:rsidRDefault="005F3427" w:rsidP="00B23701">
      <w:pPr>
        <w:pStyle w:val="Nagwek2"/>
        <w:rPr>
          <w:color w:val="auto"/>
        </w:rPr>
      </w:pPr>
      <w:r w:rsidRPr="005F3427">
        <w:rPr>
          <w:color w:val="auto"/>
        </w:rPr>
        <w:t>Parameter</w:t>
      </w:r>
      <w:r w:rsidR="00FD388F">
        <w:rPr>
          <w:color w:val="auto"/>
        </w:rPr>
        <w:t>y</w:t>
      </w:r>
    </w:p>
    <w:p w14:paraId="6C0F876D" w14:textId="06E8865C" w:rsidR="006136F0" w:rsidRDefault="00FD388F" w:rsidP="006136F0">
      <w:pPr>
        <w:jc w:val="both"/>
      </w:pPr>
      <w:r w:rsidRPr="00FD388F">
        <w:t>Parametry są używane, jeśli chcemy, aby wizualizacja zmieniała się w zależności od pól wybranych przez użytkownika</w:t>
      </w:r>
      <w:r w:rsidR="006136F0">
        <w:t>.</w:t>
      </w:r>
    </w:p>
    <w:p w14:paraId="676E2A8E" w14:textId="5B10EDCB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>Utwórz nowy arkusz i nazwij go Parametr</w:t>
      </w:r>
    </w:p>
    <w:p w14:paraId="08638A17" w14:textId="18C34BA4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>Kliknij strzałkę w prawym górnym rogu Data panel i wybierz Create Parameter.</w:t>
      </w:r>
    </w:p>
    <w:p w14:paraId="5A73FD6E" w14:textId="283A7E5E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 xml:space="preserve">Nazwij parametr </w:t>
      </w:r>
      <w:r w:rsidRPr="00D75B15">
        <w:rPr>
          <w:b/>
          <w:bCs/>
        </w:rPr>
        <w:t>Metrics</w:t>
      </w:r>
      <w:r>
        <w:t xml:space="preserve">, typem danych powinien być </w:t>
      </w:r>
      <w:r w:rsidRPr="00D75B15">
        <w:rPr>
          <w:b/>
          <w:bCs/>
        </w:rPr>
        <w:t>String</w:t>
      </w:r>
      <w:r>
        <w:t xml:space="preserve">, a w sekcji </w:t>
      </w:r>
      <w:r w:rsidRPr="00D75B15">
        <w:rPr>
          <w:b/>
          <w:bCs/>
        </w:rPr>
        <w:t>Allowable values</w:t>
      </w:r>
      <w:r>
        <w:t xml:space="preserve"> wybierz </w:t>
      </w:r>
      <w:r w:rsidRPr="00D75B15">
        <w:rPr>
          <w:b/>
          <w:bCs/>
        </w:rPr>
        <w:t>List</w:t>
      </w:r>
      <w:r>
        <w:t>. Wprowadź 3 pozycje na liście</w:t>
      </w:r>
    </w:p>
    <w:p w14:paraId="23E4BE66" w14:textId="5E78BDC4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Sale</w:t>
      </w:r>
      <w:r w:rsidR="00451369">
        <w:rPr>
          <w:b/>
          <w:bCs/>
        </w:rPr>
        <w:t>s</w:t>
      </w:r>
    </w:p>
    <w:p w14:paraId="19692048" w14:textId="5DAF6AEE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Profit</w:t>
      </w:r>
    </w:p>
    <w:p w14:paraId="49932757" w14:textId="5914E902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Shipping cost</w:t>
      </w:r>
    </w:p>
    <w:p w14:paraId="0A278914" w14:textId="4DD7D5EC" w:rsidR="009B5483" w:rsidRDefault="00EE1315" w:rsidP="006136F0">
      <w:pPr>
        <w:jc w:val="center"/>
      </w:pPr>
      <w:r>
        <w:rPr>
          <w:noProof/>
        </w:rPr>
        <w:lastRenderedPageBreak/>
        <w:drawing>
          <wp:inline distT="0" distB="0" distL="0" distR="0" wp14:anchorId="6C36A59C" wp14:editId="510E540E">
            <wp:extent cx="3632005" cy="3476625"/>
            <wp:effectExtent l="0" t="0" r="6985" b="0"/>
            <wp:docPr id="662054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5484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5307" cy="34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D465" w14:textId="7F9776EF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t xml:space="preserve">Teraz w panelu po lewej stronie na dole znajduje się nowo utworzony parametr </w:t>
      </w:r>
      <w:r w:rsidRPr="00D75B15">
        <w:rPr>
          <w:b/>
          <w:bCs/>
        </w:rPr>
        <w:t>Metrics</w:t>
      </w:r>
      <w:r w:rsidRPr="00D75B15">
        <w:t xml:space="preserve">. Kliknij go prawym przyciskiem myszy i wybierz opcję </w:t>
      </w:r>
      <w:r w:rsidRPr="002C5C04">
        <w:rPr>
          <w:b/>
          <w:bCs/>
        </w:rPr>
        <w:t>Show parameter</w:t>
      </w:r>
    </w:p>
    <w:p w14:paraId="0ECAFC3B" w14:textId="5817816E" w:rsidR="00451369" w:rsidRDefault="00D75B15" w:rsidP="002C5C04">
      <w:pPr>
        <w:jc w:val="both"/>
      </w:pPr>
      <w:r w:rsidRPr="00D75B15">
        <w:t>Teraz konieczne jest utworzenie pola obliczeniowego, które będzie wyświetlać miarę (zmienną) wybraną w parametrze na wizualizacji</w:t>
      </w:r>
      <w:r w:rsidR="00451369">
        <w:t>.</w:t>
      </w:r>
    </w:p>
    <w:p w14:paraId="31C9CFA9" w14:textId="299DC753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t xml:space="preserve">Utwórz nowe pole obliczeniowe i nadaj mu nazwę </w:t>
      </w:r>
      <w:r w:rsidRPr="00D75B15">
        <w:rPr>
          <w:b/>
          <w:bCs/>
        </w:rPr>
        <w:t>Selected metric</w:t>
      </w:r>
      <w:r w:rsidRPr="00D75B15">
        <w:t xml:space="preserve">. Funkcja, która sprawdzi, co jest wybrane w parametrze i odpowiednio wyświetli niezbędną miarę, brzmi </w:t>
      </w:r>
    </w:p>
    <w:p w14:paraId="01340F4B" w14:textId="1F882C48" w:rsidR="009B5483" w:rsidRDefault="009333C6" w:rsidP="00451369">
      <w:pPr>
        <w:ind w:left="360"/>
        <w:jc w:val="center"/>
      </w:pPr>
      <w:r>
        <w:rPr>
          <w:noProof/>
        </w:rPr>
        <w:drawing>
          <wp:inline distT="0" distB="0" distL="0" distR="0" wp14:anchorId="46177E34" wp14:editId="7F99326C">
            <wp:extent cx="2933700" cy="1283494"/>
            <wp:effectExtent l="0" t="0" r="0" b="0"/>
            <wp:docPr id="106482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283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8638" cy="12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0647" w14:textId="77E25615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t xml:space="preserve">Przeciągnij pole </w:t>
      </w:r>
      <w:r w:rsidRPr="002C5C04">
        <w:rPr>
          <w:b/>
          <w:bCs/>
        </w:rPr>
        <w:t>Category</w:t>
      </w:r>
      <w:r w:rsidRPr="00D75B15">
        <w:t xml:space="preserve"> do kolumn, a </w:t>
      </w:r>
      <w:r w:rsidRPr="002C5C04">
        <w:rPr>
          <w:b/>
          <w:bCs/>
        </w:rPr>
        <w:t>Selected metric</w:t>
      </w:r>
      <w:r w:rsidR="00DC209C">
        <w:rPr>
          <w:b/>
          <w:bCs/>
        </w:rPr>
        <w:t xml:space="preserve"> </w:t>
      </w:r>
      <w:r w:rsidR="00DC209C" w:rsidRPr="00DC209C">
        <w:t>do wierszy</w:t>
      </w:r>
    </w:p>
    <w:p w14:paraId="011EFD2E" w14:textId="0715425B" w:rsidR="002C5C04" w:rsidRDefault="00D75B15" w:rsidP="002C5C04">
      <w:pPr>
        <w:jc w:val="both"/>
      </w:pPr>
      <w:r w:rsidRPr="00D75B15">
        <w:t>W zależności od tego, co wybierzesz w parametrze po prawej stronie, otrzymasz widok wizualizacji (sprzedaż, zysk lub koszty wysyłki według kategorii</w:t>
      </w:r>
      <w:r w:rsidR="002C5C04">
        <w:t>).</w:t>
      </w:r>
    </w:p>
    <w:p w14:paraId="5B409DA3" w14:textId="18166FD3" w:rsidR="00DC209C" w:rsidRDefault="00DC209C" w:rsidP="006A3D0B">
      <w:pPr>
        <w:pStyle w:val="Akapitzlist"/>
        <w:numPr>
          <w:ilvl w:val="0"/>
          <w:numId w:val="38"/>
        </w:numPr>
        <w:jc w:val="both"/>
      </w:pPr>
      <w:r w:rsidRPr="00DC209C">
        <w:t>Kliknij dwukrotnie nazwę wykresu (Parameter) i zmień nazwę tak, aby była dynamiczna, tzn. zmieniała się w zależności od wybranego parametru</w:t>
      </w:r>
      <w:r>
        <w:t>:</w:t>
      </w:r>
    </w:p>
    <w:p w14:paraId="5C7AA948" w14:textId="6F826850" w:rsidR="009B5483" w:rsidRDefault="001424DA" w:rsidP="002C5C04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78E8C796" wp14:editId="32A08789">
            <wp:extent cx="5219700" cy="1800225"/>
            <wp:effectExtent l="0" t="0" r="0" b="9525"/>
            <wp:docPr id="985141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4132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5FDEB882" w:rsidR="001116F5" w:rsidRPr="00D64EF5" w:rsidRDefault="001116F5" w:rsidP="00D64EF5">
      <w:pPr>
        <w:pStyle w:val="Nagwek2"/>
        <w:jc w:val="center"/>
        <w:rPr>
          <w:color w:val="auto"/>
        </w:rPr>
      </w:pPr>
      <w:r w:rsidRPr="00D64EF5">
        <w:rPr>
          <w:color w:val="auto"/>
        </w:rPr>
        <w:lastRenderedPageBreak/>
        <w:t>Dashboard</w:t>
      </w:r>
      <w:r w:rsidR="00DC209C">
        <w:rPr>
          <w:color w:val="auto"/>
        </w:rPr>
        <w:t xml:space="preserve">y i </w:t>
      </w:r>
      <w:r w:rsidRPr="00D64EF5">
        <w:rPr>
          <w:color w:val="auto"/>
        </w:rPr>
        <w:t xml:space="preserve"> </w:t>
      </w:r>
      <w:r w:rsidR="00DC209C">
        <w:rPr>
          <w:color w:val="auto"/>
        </w:rPr>
        <w:t>opowiadanie historii</w:t>
      </w:r>
    </w:p>
    <w:p w14:paraId="69CB2FB1" w14:textId="56A0AB8A" w:rsidR="00565AAB" w:rsidRPr="00565AAB" w:rsidRDefault="00443BE1" w:rsidP="00565AAB">
      <w:pPr>
        <w:jc w:val="both"/>
        <w:rPr>
          <w:rFonts w:cstheme="minorHAnsi"/>
          <w:sz w:val="24"/>
          <w:szCs w:val="24"/>
        </w:rPr>
      </w:pPr>
      <w:r w:rsidRPr="00443BE1">
        <w:rPr>
          <w:rFonts w:cstheme="minorHAnsi"/>
          <w:sz w:val="24"/>
          <w:szCs w:val="24"/>
        </w:rPr>
        <w:t>Pulpit nawigacyjny to zbiór arkuszy i innych informacji wyświetlanych na jednym ekranie. Podczas tworzenia pulpitu nawigacyjnego należy zwrócić uwagę na następujące kwestie</w:t>
      </w:r>
      <w:r w:rsidR="00565AAB" w:rsidRPr="00565AAB">
        <w:rPr>
          <w:rFonts w:cstheme="minorHAnsi"/>
          <w:sz w:val="24"/>
          <w:szCs w:val="24"/>
        </w:rPr>
        <w:t>:</w:t>
      </w:r>
    </w:p>
    <w:p w14:paraId="1F2F4947" w14:textId="4CFD08AD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Konieczne jest, aby wiedzieć, kim są </w:t>
      </w:r>
      <w:r>
        <w:rPr>
          <w:rFonts w:cstheme="minorHAnsi"/>
          <w:sz w:val="24"/>
          <w:szCs w:val="24"/>
        </w:rPr>
        <w:t>t</w:t>
      </w:r>
      <w:r w:rsidRPr="00371894">
        <w:rPr>
          <w:rFonts w:cstheme="minorHAnsi"/>
          <w:sz w:val="24"/>
          <w:szCs w:val="24"/>
        </w:rPr>
        <w:t>woi odbiorcy, komu będziesz prezentować informacje?</w:t>
      </w:r>
    </w:p>
    <w:p w14:paraId="741ADCB7" w14:textId="4AA3F56E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Najważniejsze treści na pulpicie nawigacyjnym powinny znajdować się w lewym górnym rogu.</w:t>
      </w:r>
    </w:p>
    <w:p w14:paraId="459253F6" w14:textId="3FFCB46E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Ogranicz liczbę wizualizacji na pulpicie nawigacyjnym (nie więcej niż 5).</w:t>
      </w:r>
    </w:p>
    <w:p w14:paraId="19ABEB65" w14:textId="6ADB5257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Użyj filtrów, aby pulpit nawigacyjny był bardziej interaktywny.</w:t>
      </w:r>
    </w:p>
    <w:p w14:paraId="68467FE9" w14:textId="76594365" w:rsidR="00565AAB" w:rsidRPr="00565AAB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Podkreśl ważne informacje</w:t>
      </w:r>
    </w:p>
    <w:p w14:paraId="4334BD9A" w14:textId="77777777" w:rsidR="00565AAB" w:rsidRPr="00565AAB" w:rsidRDefault="00565AAB" w:rsidP="00565AAB">
      <w:pPr>
        <w:jc w:val="both"/>
        <w:rPr>
          <w:rFonts w:cstheme="minorHAnsi"/>
          <w:sz w:val="24"/>
          <w:szCs w:val="24"/>
        </w:rPr>
      </w:pPr>
    </w:p>
    <w:p w14:paraId="6C5D0645" w14:textId="1FB9D178" w:rsidR="00371894" w:rsidRP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b/>
          <w:bCs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Otwórz plik Tableau </w:t>
      </w:r>
      <w:r w:rsidRPr="00371894">
        <w:rPr>
          <w:rFonts w:cstheme="minorHAnsi"/>
          <w:b/>
          <w:bCs/>
          <w:sz w:val="24"/>
          <w:szCs w:val="24"/>
        </w:rPr>
        <w:t>Tableau - dashboard</w:t>
      </w:r>
    </w:p>
    <w:p w14:paraId="47C667F9" w14:textId="4151C1F2" w:rsidR="00371894" w:rsidRP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Utwórz nowy dashboard i nazwij go </w:t>
      </w:r>
      <w:r w:rsidRPr="00371894">
        <w:rPr>
          <w:rFonts w:cstheme="minorHAnsi"/>
          <w:b/>
          <w:bCs/>
          <w:sz w:val="24"/>
          <w:szCs w:val="24"/>
        </w:rPr>
        <w:t>Sales KP</w:t>
      </w:r>
      <w:r>
        <w:rPr>
          <w:rFonts w:cstheme="minorHAnsi"/>
          <w:b/>
          <w:bCs/>
          <w:sz w:val="24"/>
          <w:szCs w:val="24"/>
        </w:rPr>
        <w:t>I</w:t>
      </w:r>
    </w:p>
    <w:p w14:paraId="3C7CEDC1" w14:textId="0AE84A23" w:rsid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Na górze, w menu </w:t>
      </w:r>
      <w:r w:rsidRPr="00371894">
        <w:rPr>
          <w:rFonts w:cstheme="minorHAnsi"/>
          <w:b/>
          <w:bCs/>
          <w:sz w:val="24"/>
          <w:szCs w:val="24"/>
        </w:rPr>
        <w:t>Dashboard</w:t>
      </w:r>
      <w:r w:rsidRPr="00371894">
        <w:rPr>
          <w:rFonts w:cstheme="minorHAnsi"/>
          <w:sz w:val="24"/>
          <w:szCs w:val="24"/>
        </w:rPr>
        <w:t xml:space="preserve">, pod opcją </w:t>
      </w:r>
      <w:r w:rsidRPr="00371894">
        <w:rPr>
          <w:rFonts w:cstheme="minorHAnsi"/>
          <w:b/>
          <w:bCs/>
          <w:sz w:val="24"/>
          <w:szCs w:val="24"/>
        </w:rPr>
        <w:t>Device Layouts</w:t>
      </w:r>
      <w:r w:rsidRPr="00371894">
        <w:rPr>
          <w:rFonts w:cstheme="minorHAnsi"/>
          <w:sz w:val="24"/>
          <w:szCs w:val="24"/>
        </w:rPr>
        <w:t xml:space="preserve">, dodaj </w:t>
      </w:r>
      <w:r w:rsidRPr="00371894">
        <w:rPr>
          <w:rFonts w:cstheme="minorHAnsi"/>
          <w:b/>
          <w:bCs/>
          <w:sz w:val="24"/>
          <w:szCs w:val="24"/>
        </w:rPr>
        <w:t>Desktop</w:t>
      </w:r>
      <w:r w:rsidRPr="00371894">
        <w:rPr>
          <w:rFonts w:cstheme="minorHAnsi"/>
          <w:sz w:val="24"/>
          <w:szCs w:val="24"/>
        </w:rPr>
        <w:t xml:space="preserve"> </w:t>
      </w:r>
    </w:p>
    <w:p w14:paraId="5B19D4D4" w14:textId="5AC0E550" w:rsidR="00624F12" w:rsidRDefault="00624F12" w:rsidP="00565AAB">
      <w:pPr>
        <w:jc w:val="center"/>
      </w:pPr>
      <w:r>
        <w:rPr>
          <w:noProof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09EE" w14:textId="1850D523" w:rsidR="00371894" w:rsidRDefault="00371894" w:rsidP="00371894">
      <w:pPr>
        <w:pStyle w:val="Akapitzlist"/>
        <w:numPr>
          <w:ilvl w:val="0"/>
          <w:numId w:val="39"/>
        </w:numPr>
        <w:jc w:val="both"/>
      </w:pPr>
      <w:r>
        <w:t xml:space="preserve">W panelu po lewej stronie wybierz opcję </w:t>
      </w:r>
      <w:r w:rsidRPr="00371894">
        <w:t>Default</w:t>
      </w:r>
    </w:p>
    <w:p w14:paraId="15D702BC" w14:textId="434AC5AB" w:rsidR="00371894" w:rsidRDefault="00371894" w:rsidP="00371894">
      <w:pPr>
        <w:pStyle w:val="Akapitzlist"/>
        <w:numPr>
          <w:ilvl w:val="0"/>
          <w:numId w:val="39"/>
        </w:numPr>
        <w:jc w:val="both"/>
      </w:pPr>
      <w:r>
        <w:t xml:space="preserve">W górnej części menu kliknij </w:t>
      </w:r>
      <w:r w:rsidRPr="00371894">
        <w:rPr>
          <w:b/>
          <w:bCs/>
        </w:rPr>
        <w:t>Format &gt; Dashboard</w:t>
      </w:r>
      <w:r>
        <w:t xml:space="preserve">. W panelu po lewej stronie zmień opcję </w:t>
      </w:r>
      <w:r w:rsidRPr="00371894">
        <w:rPr>
          <w:b/>
          <w:bCs/>
        </w:rPr>
        <w:t>Dashboard Shading</w:t>
      </w:r>
      <w:r>
        <w:t xml:space="preserve"> na jasnoszarą. </w:t>
      </w:r>
    </w:p>
    <w:p w14:paraId="293E364E" w14:textId="345007D8" w:rsidR="00D453B2" w:rsidRDefault="00D453B2" w:rsidP="00CF46CD">
      <w:pPr>
        <w:jc w:val="center"/>
      </w:pPr>
      <w:r>
        <w:rPr>
          <w:noProof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DBCC" w14:textId="677C19B1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Zamknij panel </w:t>
      </w:r>
      <w:r w:rsidRPr="00967ADC">
        <w:rPr>
          <w:b/>
          <w:bCs/>
        </w:rPr>
        <w:t>Format Dashboard</w:t>
      </w:r>
      <w:r>
        <w:t>, klikając przycisk X</w:t>
      </w:r>
    </w:p>
    <w:p w14:paraId="1CB47FF8" w14:textId="43A935F8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Przeciągnij arkusz </w:t>
      </w:r>
      <w:r w:rsidRPr="00967ADC">
        <w:rPr>
          <w:b/>
          <w:bCs/>
        </w:rPr>
        <w:t>Sales by Salesperson</w:t>
      </w:r>
      <w:r>
        <w:t xml:space="preserve"> na pulpit nawigacyjny. </w:t>
      </w:r>
    </w:p>
    <w:p w14:paraId="7C415EFF" w14:textId="362D546B" w:rsidR="00F3647F" w:rsidRDefault="001F2A59" w:rsidP="00797B22">
      <w:pPr>
        <w:jc w:val="center"/>
      </w:pPr>
      <w:r>
        <w:rPr>
          <w:noProof/>
        </w:rPr>
        <w:lastRenderedPageBreak/>
        <w:drawing>
          <wp:inline distT="0" distB="0" distL="0" distR="0" wp14:anchorId="040C6DC2" wp14:editId="4A5EBABA">
            <wp:extent cx="4817745" cy="1517229"/>
            <wp:effectExtent l="0" t="0" r="1905" b="6985"/>
            <wp:docPr id="66495347" name="Picture 1" descr="A red arrow pointing to the r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347" name="Picture 1" descr="A red arrow pointing to the righ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584" cy="15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D81F" w14:textId="32182F57" w:rsidR="00967ADC" w:rsidRDefault="00967ADC" w:rsidP="006A3D0B">
      <w:pPr>
        <w:pStyle w:val="Akapitzlist"/>
        <w:numPr>
          <w:ilvl w:val="0"/>
          <w:numId w:val="39"/>
        </w:numPr>
        <w:jc w:val="both"/>
      </w:pPr>
      <w:r w:rsidRPr="00967ADC">
        <w:t xml:space="preserve">Przesuń arkusz </w:t>
      </w:r>
      <w:r w:rsidRPr="00967ADC">
        <w:rPr>
          <w:b/>
          <w:bCs/>
        </w:rPr>
        <w:t>Sales by delivery type</w:t>
      </w:r>
      <w:r w:rsidRPr="00967ADC">
        <w:t xml:space="preserve"> poniżej tej wizualizacji </w:t>
      </w:r>
    </w:p>
    <w:p w14:paraId="06F11F43" w14:textId="607D1B16" w:rsidR="004F1682" w:rsidRDefault="003E6B5B" w:rsidP="009C0419">
      <w:pPr>
        <w:ind w:left="360"/>
        <w:jc w:val="center"/>
      </w:pPr>
      <w:r>
        <w:rPr>
          <w:noProof/>
        </w:rPr>
        <w:drawing>
          <wp:inline distT="0" distB="0" distL="0" distR="0" wp14:anchorId="3A84FF2C" wp14:editId="24677CC4">
            <wp:extent cx="4238625" cy="2836496"/>
            <wp:effectExtent l="0" t="0" r="0" b="2540"/>
            <wp:docPr id="178015592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5922" name="Picture 1" descr="A screen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651" cy="28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7ED4" w14:textId="4A767557" w:rsidR="00967ADC" w:rsidRDefault="00967ADC" w:rsidP="006A3D0B">
      <w:pPr>
        <w:pStyle w:val="Akapitzlist"/>
        <w:numPr>
          <w:ilvl w:val="0"/>
          <w:numId w:val="39"/>
        </w:numPr>
        <w:jc w:val="both"/>
      </w:pPr>
      <w:r w:rsidRPr="00967ADC">
        <w:t xml:space="preserve">Przesuń arkusz </w:t>
      </w:r>
      <w:r w:rsidRPr="00967ADC">
        <w:rPr>
          <w:b/>
          <w:bCs/>
        </w:rPr>
        <w:t>Sales by years</w:t>
      </w:r>
      <w:r w:rsidRPr="00967ADC">
        <w:t xml:space="preserve"> na prawo od tej wizualizacji </w:t>
      </w:r>
    </w:p>
    <w:p w14:paraId="1052DE23" w14:textId="142BBB3E" w:rsidR="00034388" w:rsidRDefault="00206A0F" w:rsidP="009C0419">
      <w:pPr>
        <w:ind w:left="360"/>
        <w:jc w:val="center"/>
      </w:pPr>
      <w:r>
        <w:rPr>
          <w:noProof/>
        </w:rPr>
        <w:drawing>
          <wp:inline distT="0" distB="0" distL="0" distR="0" wp14:anchorId="6CBAE701" wp14:editId="7B0B355D">
            <wp:extent cx="4195949" cy="2790825"/>
            <wp:effectExtent l="0" t="0" r="0" b="0"/>
            <wp:docPr id="1958240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060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0483" cy="28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37E9" w14:textId="3091BFB6" w:rsidR="00967ADC" w:rsidRDefault="00967ADC" w:rsidP="006A3D0B">
      <w:pPr>
        <w:pStyle w:val="Akapitzlist"/>
        <w:numPr>
          <w:ilvl w:val="0"/>
          <w:numId w:val="39"/>
        </w:numPr>
      </w:pPr>
      <w:r w:rsidRPr="00967ADC">
        <w:t xml:space="preserve">Przeciągnij obiekt </w:t>
      </w:r>
      <w:r w:rsidRPr="00967ADC">
        <w:rPr>
          <w:b/>
          <w:bCs/>
        </w:rPr>
        <w:t xml:space="preserve">Text </w:t>
      </w:r>
      <w:r w:rsidRPr="00967ADC">
        <w:t xml:space="preserve">do lewego górnego rogu </w:t>
      </w:r>
    </w:p>
    <w:p w14:paraId="6367ACAC" w14:textId="535AD9BF" w:rsidR="00C33F60" w:rsidRDefault="00977E95" w:rsidP="009C0419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5F60557E" wp14:editId="792CE675">
            <wp:extent cx="4143375" cy="2775495"/>
            <wp:effectExtent l="0" t="0" r="0" b="6350"/>
            <wp:docPr id="710943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4336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0261" cy="27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AF88" w14:textId="77777777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W otwartym oknie wpisz tekst </w:t>
      </w:r>
      <w:r w:rsidRPr="00967ADC">
        <w:rPr>
          <w:b/>
          <w:bCs/>
        </w:rPr>
        <w:t>Superstore sales</w:t>
      </w:r>
      <w:r>
        <w:t xml:space="preserve"> i zwiększ rozmiar czcionki do 22</w:t>
      </w:r>
    </w:p>
    <w:p w14:paraId="0584A8EF" w14:textId="77777777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Dostosuj rozmiar obiektu </w:t>
      </w:r>
      <w:r w:rsidRPr="00967ADC">
        <w:rPr>
          <w:b/>
          <w:bCs/>
        </w:rPr>
        <w:t>Text</w:t>
      </w:r>
      <w:r>
        <w:t xml:space="preserve"> tak, aby zajmował około 1/3 szerokości pulpitu nawigacyjnego. </w:t>
      </w:r>
    </w:p>
    <w:p w14:paraId="4289F843" w14:textId="366D5D64" w:rsidR="00304168" w:rsidRDefault="00015D35" w:rsidP="005A2AA0">
      <w:pPr>
        <w:jc w:val="center"/>
      </w:pPr>
      <w:r>
        <w:rPr>
          <w:noProof/>
        </w:rPr>
        <w:drawing>
          <wp:inline distT="0" distB="0" distL="0" distR="0" wp14:anchorId="1CA493A1" wp14:editId="10395E53">
            <wp:extent cx="4572000" cy="3068663"/>
            <wp:effectExtent l="0" t="0" r="0" b="0"/>
            <wp:docPr id="1763724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440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0246" cy="30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9D95" w14:textId="57B5CA2C" w:rsidR="00267A56" w:rsidRDefault="00967ADC" w:rsidP="00267A56">
      <w:pPr>
        <w:jc w:val="both"/>
      </w:pPr>
      <w:r w:rsidRPr="00967ADC">
        <w:t>Po przeciągnięciu wszystkich arkuszy utworzono pulpit nawigacyjny. Po utworzeniu pierwszego początkowego wyglądu pulpitu nawigacyjnego konieczne jest jego dalsze dostosowanie. Usunięcie wizualizacji z pulpitu nawigacyjnego spowoduje automatyczną zmianę jego wyglądu. Jednak zastąpienie jednej wizualizacji na pulpicie nawigacyjnym inną nie wpłynie na wygląd pulpitu nawigacyjnego</w:t>
      </w:r>
      <w:r w:rsidR="00267A56">
        <w:t>.</w:t>
      </w:r>
    </w:p>
    <w:p w14:paraId="761826E2" w14:textId="5E9B9D99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 xml:space="preserve">Kliknij wykres </w:t>
      </w:r>
      <w:r w:rsidRPr="00267A56">
        <w:rPr>
          <w:b/>
          <w:bCs/>
        </w:rPr>
        <w:t>Sales by delivery type</w:t>
      </w:r>
    </w:p>
    <w:p w14:paraId="1798929B" w14:textId="0E1A6D25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 xml:space="preserve">W panelu po lewej stronie najedź kursorem na arkusz </w:t>
      </w:r>
      <w:r w:rsidRPr="00267A56">
        <w:rPr>
          <w:b/>
          <w:bCs/>
        </w:rPr>
        <w:t>Top 10 countries by sale</w:t>
      </w:r>
    </w:p>
    <w:p w14:paraId="708BCCCF" w14:textId="0EDE1CCE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>Kliknij zakrzywioną strzałkę po prawej stronie arkusza</w:t>
      </w:r>
    </w:p>
    <w:p w14:paraId="4C009809" w14:textId="0004D059" w:rsidR="00D70B6F" w:rsidRDefault="009E2646" w:rsidP="00267A56">
      <w:pPr>
        <w:jc w:val="center"/>
      </w:pPr>
      <w:r>
        <w:rPr>
          <w:noProof/>
        </w:rPr>
        <w:lastRenderedPageBreak/>
        <w:drawing>
          <wp:inline distT="0" distB="0" distL="0" distR="0" wp14:anchorId="53B9A605" wp14:editId="405151C8">
            <wp:extent cx="3152775" cy="1724087"/>
            <wp:effectExtent l="0" t="0" r="0" b="9525"/>
            <wp:docPr id="20866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945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2401" cy="17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6926584F" w:rsidR="00716CB2" w:rsidRPr="00267A56" w:rsidRDefault="00D16FE9" w:rsidP="00716CB2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 xml:space="preserve">Interaktywność </w:t>
      </w:r>
      <w:r w:rsidR="00267A56" w:rsidRPr="00267A56">
        <w:rPr>
          <w:b/>
          <w:bCs/>
          <w:color w:val="auto"/>
        </w:rPr>
        <w:t>D</w:t>
      </w:r>
      <w:r w:rsidR="00716CB2" w:rsidRPr="00267A56">
        <w:rPr>
          <w:b/>
          <w:bCs/>
          <w:color w:val="auto"/>
        </w:rPr>
        <w:t>ashboard</w:t>
      </w:r>
      <w:r>
        <w:rPr>
          <w:b/>
          <w:bCs/>
          <w:color w:val="auto"/>
        </w:rPr>
        <w:t>u</w:t>
      </w:r>
    </w:p>
    <w:p w14:paraId="4FB4516B" w14:textId="5C86E44E" w:rsidR="004B09B2" w:rsidRDefault="00A317B4" w:rsidP="004B09B2">
      <w:pPr>
        <w:jc w:val="both"/>
      </w:pPr>
      <w:r w:rsidRPr="00A317B4">
        <w:t>W zależności od kontekstu pulpitu nawigacyjnego, możliwe jest umożliwienie odbiorcom głębszego zagłębienia się w dane</w:t>
      </w:r>
      <w:r w:rsidR="004B09B2" w:rsidRPr="004B09B2">
        <w:t>.</w:t>
      </w:r>
    </w:p>
    <w:p w14:paraId="7C7EFD8C" w14:textId="3385A5FF" w:rsidR="008C7153" w:rsidRPr="00F72539" w:rsidRDefault="00A317B4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A317B4">
        <w:rPr>
          <w:sz w:val="24"/>
          <w:szCs w:val="24"/>
        </w:rPr>
        <w:t xml:space="preserve">Pytanie #1: Jakie 3 kraje </w:t>
      </w:r>
      <w:r>
        <w:rPr>
          <w:sz w:val="24"/>
          <w:szCs w:val="24"/>
        </w:rPr>
        <w:t xml:space="preserve">charakteryzują się największą </w:t>
      </w:r>
      <w:r w:rsidRPr="00A317B4">
        <w:rPr>
          <w:sz w:val="24"/>
          <w:szCs w:val="24"/>
        </w:rPr>
        <w:t>sprzedaż</w:t>
      </w:r>
      <w:r>
        <w:rPr>
          <w:sz w:val="24"/>
          <w:szCs w:val="24"/>
        </w:rPr>
        <w:t xml:space="preserve">ą </w:t>
      </w:r>
      <w:r w:rsidRPr="00A317B4">
        <w:rPr>
          <w:sz w:val="24"/>
          <w:szCs w:val="24"/>
        </w:rPr>
        <w:t>produktów w kategorii „Technologia”</w:t>
      </w:r>
      <w:r w:rsidR="004B09B2">
        <w:rPr>
          <w:sz w:val="24"/>
          <w:szCs w:val="24"/>
        </w:rPr>
        <w:t>?</w:t>
      </w:r>
    </w:p>
    <w:p w14:paraId="3AAEA861" w14:textId="603AEDDB" w:rsidR="00C43BC1" w:rsidRDefault="00C43BC1" w:rsidP="00C43BC1">
      <w:pPr>
        <w:pStyle w:val="Akapitzlist"/>
        <w:numPr>
          <w:ilvl w:val="0"/>
          <w:numId w:val="40"/>
        </w:numPr>
        <w:jc w:val="both"/>
      </w:pPr>
      <w:r>
        <w:t xml:space="preserve">Kliknij wizualizację </w:t>
      </w:r>
      <w:r w:rsidRPr="004B09B2">
        <w:rPr>
          <w:b/>
          <w:bCs/>
        </w:rPr>
        <w:t>Sales by years</w:t>
      </w:r>
    </w:p>
    <w:p w14:paraId="4B538E91" w14:textId="55DE4AC3" w:rsidR="00C43BC1" w:rsidRDefault="00C43BC1" w:rsidP="00C43BC1">
      <w:pPr>
        <w:pStyle w:val="Akapitzlist"/>
        <w:numPr>
          <w:ilvl w:val="0"/>
          <w:numId w:val="40"/>
        </w:numPr>
        <w:jc w:val="both"/>
      </w:pPr>
      <w:r>
        <w:t xml:space="preserve">Kliknij strzałkę po prawej stronie. W otwartym menu wybierz opcję </w:t>
      </w:r>
      <w:r w:rsidRPr="004B09B2">
        <w:rPr>
          <w:b/>
          <w:bCs/>
        </w:rPr>
        <w:t>Use as Filter</w:t>
      </w:r>
    </w:p>
    <w:p w14:paraId="06888947" w14:textId="37E0FEC0" w:rsidR="00DB56A5" w:rsidRDefault="00600D76" w:rsidP="004B09B2">
      <w:pPr>
        <w:jc w:val="center"/>
      </w:pPr>
      <w:r>
        <w:rPr>
          <w:noProof/>
        </w:rPr>
        <w:drawing>
          <wp:inline distT="0" distB="0" distL="0" distR="0" wp14:anchorId="4D99DB66" wp14:editId="027DA0CB">
            <wp:extent cx="3819525" cy="2462145"/>
            <wp:effectExtent l="0" t="0" r="0" b="0"/>
            <wp:docPr id="135338164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1646" name="Picture 1" descr="A screen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2544" cy="24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1468" w14:textId="77777777" w:rsidR="00C43BC1" w:rsidRDefault="00C43BC1" w:rsidP="00CD05C3">
      <w:r w:rsidRPr="00C43BC1">
        <w:t xml:space="preserve">Wybranie tej opcji powoduje zastosowanie filtra także do innych wizualizacji. Po kliknięciu linii na wykresie liniowym Sprzedaż według lat pozostałe wizualizacje również zmienią się zgodnie z dokonanym wyborem. To samo można zrobić, klikając ikonę </w:t>
      </w:r>
      <w:r w:rsidRPr="00C43BC1">
        <w:rPr>
          <w:b/>
          <w:bCs/>
        </w:rPr>
        <w:t>lejka</w:t>
      </w:r>
      <w:r w:rsidRPr="00C43BC1">
        <w:t xml:space="preserve"> (filtra)</w:t>
      </w:r>
    </w:p>
    <w:p w14:paraId="0F5D0FD0" w14:textId="2C7EF04E" w:rsidR="00CD05C3" w:rsidRDefault="00C43BC1" w:rsidP="00C43BC1">
      <w:r>
        <w:t>Po wybraniu zielonej linii, która wskazuje kategorię Technologia, można zauważyć, że Kalifornia, Nowy Jork i Pensylwania wykazują najwyższą sprzedaż</w:t>
      </w:r>
      <w:r w:rsidR="00CD05C3">
        <w:t>.</w:t>
      </w:r>
    </w:p>
    <w:p w14:paraId="31CEA4A3" w14:textId="4F678F74" w:rsidR="00354E22" w:rsidRDefault="00354E22" w:rsidP="006A3D0B">
      <w:pPr>
        <w:pStyle w:val="Akapitzlist"/>
        <w:numPr>
          <w:ilvl w:val="0"/>
          <w:numId w:val="40"/>
        </w:numPr>
      </w:pPr>
      <w:r>
        <w:t>K</w:t>
      </w:r>
      <w:r w:rsidRPr="00354E22">
        <w:t xml:space="preserve">orzystając z obiektu </w:t>
      </w:r>
      <w:r w:rsidRPr="00354E22">
        <w:rPr>
          <w:b/>
          <w:bCs/>
        </w:rPr>
        <w:t>Blank</w:t>
      </w:r>
      <w:r w:rsidRPr="00354E22">
        <w:t xml:space="preserve">, edytuj pulpit nawigacyjny, dodając puste miejsce między wizualizacjami, aby były bardziej przejrzyste </w:t>
      </w:r>
    </w:p>
    <w:p w14:paraId="7F76E6EB" w14:textId="77777777" w:rsidR="00CD05C3" w:rsidRDefault="00CD05C3" w:rsidP="00CD05C3"/>
    <w:p w14:paraId="0241EB08" w14:textId="77777777" w:rsidR="00CD05C3" w:rsidRPr="00716CB2" w:rsidRDefault="00CD05C3" w:rsidP="00CD05C3"/>
    <w:p w14:paraId="0D924342" w14:textId="40756BE7" w:rsidR="00335EAD" w:rsidRDefault="00354E22" w:rsidP="00335EAD">
      <w:pPr>
        <w:pStyle w:val="Nagwek3"/>
      </w:pPr>
      <w:r>
        <w:lastRenderedPageBreak/>
        <w:t xml:space="preserve">Historia </w:t>
      </w:r>
      <w:r w:rsidR="00335EAD">
        <w:t>Tableau</w:t>
      </w:r>
    </w:p>
    <w:p w14:paraId="2C5CB978" w14:textId="3998A966" w:rsidR="00761F09" w:rsidRDefault="00D64822" w:rsidP="00354E22">
      <w:pPr>
        <w:jc w:val="both"/>
      </w:pPr>
      <w:r>
        <w:t xml:space="preserve">Historia </w:t>
      </w:r>
      <w:r w:rsidR="00354E22">
        <w:t xml:space="preserve">Tableau łączy arkusze robocze i dashboardy w celu opowiedzenia historii </w:t>
      </w:r>
      <w:r w:rsidR="0071023C">
        <w:t xml:space="preserve">na temat </w:t>
      </w:r>
      <w:r w:rsidR="00354E22">
        <w:t>wizualizacj</w:t>
      </w:r>
      <w:r w:rsidR="0071023C">
        <w:t>i</w:t>
      </w:r>
      <w:r w:rsidR="00354E22">
        <w:t>.</w:t>
      </w:r>
    </w:p>
    <w:p w14:paraId="4BA71607" w14:textId="77777777" w:rsidR="00E15D91" w:rsidRPr="00335EAD" w:rsidRDefault="00E15D91" w:rsidP="00335EAD">
      <w:pPr>
        <w:jc w:val="both"/>
      </w:pPr>
    </w:p>
    <w:p w14:paraId="10A49A12" w14:textId="510FB24E" w:rsidR="00761F09" w:rsidRPr="00F72539" w:rsidRDefault="001D0F58" w:rsidP="001D0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D0F58">
        <w:rPr>
          <w:sz w:val="24"/>
          <w:szCs w:val="24"/>
        </w:rPr>
        <w:t>Pytanie #1: Jaka jest sytuacja sprzedażowa w ciągu ostatnich 5 lat?</w:t>
      </w:r>
      <w:r w:rsidR="00E15D91" w:rsidRPr="00E15D91">
        <w:rPr>
          <w:sz w:val="24"/>
          <w:szCs w:val="24"/>
        </w:rPr>
        <w:t xml:space="preserve"> </w:t>
      </w:r>
      <w:r w:rsidR="00E15D91">
        <w:rPr>
          <w:sz w:val="24"/>
          <w:szCs w:val="24"/>
        </w:rPr>
        <w:t xml:space="preserve"> </w:t>
      </w:r>
    </w:p>
    <w:p w14:paraId="10E9F1D3" w14:textId="21E87380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Utwórz nową historię, klikając ostatnią ikonę u dołu ekranu i nadaj jej nazwę </w:t>
      </w:r>
      <w:r w:rsidRPr="00811E41">
        <w:rPr>
          <w:b/>
          <w:bCs/>
        </w:rPr>
        <w:t>Superstore sale</w:t>
      </w:r>
      <w:r>
        <w:rPr>
          <w:b/>
          <w:bCs/>
        </w:rPr>
        <w:t>s</w:t>
      </w:r>
    </w:p>
    <w:p w14:paraId="79EEECE9" w14:textId="6DA3CB24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Przeciągnij arkusz </w:t>
      </w:r>
      <w:r w:rsidRPr="00811E41">
        <w:rPr>
          <w:b/>
          <w:bCs/>
        </w:rPr>
        <w:t>Sales by Salesperson</w:t>
      </w:r>
      <w:r>
        <w:t xml:space="preserve"> do pierwszego punktu narracji</w:t>
      </w:r>
    </w:p>
    <w:p w14:paraId="5E03AEDD" w14:textId="013DD962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>Zmień tytuł punktu narracji tak, aby brzmiał „3 z 4 poleconych wykazuje sprzedaż przekraczającą 500 000 USD”.</w:t>
      </w:r>
    </w:p>
    <w:p w14:paraId="4E5836D1" w14:textId="20937FBD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Przeciągnij arkusz </w:t>
      </w:r>
      <w:r w:rsidRPr="004F04B4">
        <w:rPr>
          <w:b/>
          <w:bCs/>
        </w:rPr>
        <w:t>Sales by years</w:t>
      </w:r>
      <w:r>
        <w:t xml:space="preserve"> na prawo od nazwy pierwszego punktu narracji i zwolnij go</w:t>
      </w:r>
    </w:p>
    <w:p w14:paraId="44E379BF" w14:textId="54324BA5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>Zmień nazwę drugiego punktu historii na „Sprzedaż we wszystkich kategoriach wzrosła na przestrzeni lat”</w:t>
      </w:r>
    </w:p>
    <w:p w14:paraId="3A4028F9" w14:textId="680BC601" w:rsidR="00422CCC" w:rsidRDefault="00DA407F" w:rsidP="00E15D91">
      <w:pPr>
        <w:jc w:val="center"/>
      </w:pPr>
      <w:r>
        <w:rPr>
          <w:noProof/>
        </w:rPr>
        <w:drawing>
          <wp:inline distT="0" distB="0" distL="0" distR="0" wp14:anchorId="26B7F0D4" wp14:editId="5E957277">
            <wp:extent cx="4038600" cy="1918246"/>
            <wp:effectExtent l="0" t="0" r="0" b="6350"/>
            <wp:docPr id="163271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192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4686" cy="19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538A" w14:textId="3EE7DF59" w:rsidR="00E64763" w:rsidRDefault="00E64763" w:rsidP="00E64763">
      <w:pPr>
        <w:pStyle w:val="Akapitzlist"/>
        <w:numPr>
          <w:ilvl w:val="0"/>
          <w:numId w:val="41"/>
        </w:numPr>
        <w:jc w:val="both"/>
      </w:pPr>
      <w:r>
        <w:t xml:space="preserve">Przeciągnij arkusz Top 10 states by sales na prawo od nazwy drugiego punktu fabularnego </w:t>
      </w:r>
      <w:r w:rsidR="00383901">
        <w:br/>
      </w:r>
      <w:r>
        <w:t>i zwolnij go</w:t>
      </w:r>
    </w:p>
    <w:p w14:paraId="5C029185" w14:textId="0EA3D9D1" w:rsidR="00E64763" w:rsidRDefault="00E64763" w:rsidP="00E64763">
      <w:pPr>
        <w:pStyle w:val="Akapitzlist"/>
        <w:numPr>
          <w:ilvl w:val="0"/>
          <w:numId w:val="41"/>
        </w:numPr>
        <w:jc w:val="both"/>
      </w:pPr>
      <w:r>
        <w:t>Zmień nazwę trzeciego punktu na "Najniższa sprzedaż osiągnęły stany Wirginia i Michigan"</w:t>
      </w:r>
    </w:p>
    <w:p w14:paraId="01C4BCAF" w14:textId="46C7F16F" w:rsidR="00A41932" w:rsidRDefault="00087466" w:rsidP="00A41932">
      <w:pPr>
        <w:jc w:val="both"/>
      </w:pPr>
      <w:r w:rsidRPr="00087466">
        <w:t>W każdym punkcie fabuły można dodawać adnotacje</w:t>
      </w:r>
      <w:r w:rsidR="00A41932">
        <w:t>:</w:t>
      </w:r>
    </w:p>
    <w:p w14:paraId="53850F55" w14:textId="01964490" w:rsidR="0022697F" w:rsidRPr="00A41932" w:rsidRDefault="00631FD4" w:rsidP="00A41932">
      <w:pPr>
        <w:jc w:val="center"/>
      </w:pPr>
      <w:r>
        <w:rPr>
          <w:noProof/>
        </w:rPr>
        <w:drawing>
          <wp:inline distT="0" distB="0" distL="0" distR="0" wp14:anchorId="7CD0FAE3" wp14:editId="67E39D90">
            <wp:extent cx="3838575" cy="2326332"/>
            <wp:effectExtent l="0" t="0" r="0" b="0"/>
            <wp:docPr id="791755675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5675" name="Picture 1" descr="A graph of a lin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1925" cy="2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97F" w:rsidRPr="00A4193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2EB8F" w14:textId="77777777" w:rsidR="00987A65" w:rsidRDefault="00987A65" w:rsidP="00E53CB6">
      <w:pPr>
        <w:spacing w:after="0" w:line="240" w:lineRule="auto"/>
      </w:pPr>
      <w:r>
        <w:separator/>
      </w:r>
    </w:p>
  </w:endnote>
  <w:endnote w:type="continuationSeparator" w:id="0">
    <w:p w14:paraId="1B9104BA" w14:textId="77777777" w:rsidR="00987A65" w:rsidRDefault="00987A65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35E9B" w14:textId="77777777" w:rsidR="00030B97" w:rsidRDefault="00030B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Content>
      <w:p w14:paraId="49F609A0" w14:textId="77777777" w:rsidR="00030B97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54D78980" w14:textId="19BAC301" w:rsidR="009825AE" w:rsidRDefault="00030B97">
        <w:pPr>
          <w:pStyle w:val="Stopka"/>
        </w:pPr>
        <w:r>
          <w:rPr>
            <w:noProof/>
          </w:rPr>
          <w:drawing>
            <wp:inline distT="0" distB="0" distL="0" distR="0" wp14:anchorId="13B5A2AE" wp14:editId="34F46487">
              <wp:extent cx="3667641" cy="571500"/>
              <wp:effectExtent l="0" t="0" r="9525" b="0"/>
              <wp:docPr id="1633228888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35444" cy="5820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A76E" w14:textId="77777777" w:rsidR="00030B97" w:rsidRDefault="00030B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6D8AB" w14:textId="77777777" w:rsidR="00987A65" w:rsidRDefault="00987A65" w:rsidP="00E53CB6">
      <w:pPr>
        <w:spacing w:after="0" w:line="240" w:lineRule="auto"/>
      </w:pPr>
      <w:r>
        <w:separator/>
      </w:r>
    </w:p>
  </w:footnote>
  <w:footnote w:type="continuationSeparator" w:id="0">
    <w:p w14:paraId="2F48E0C5" w14:textId="77777777" w:rsidR="00987A65" w:rsidRDefault="00987A65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2C9D9" w14:textId="77777777" w:rsidR="00030B97" w:rsidRDefault="00030B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BC417" w14:textId="77777777" w:rsidR="00030B97" w:rsidRDefault="00030B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AE5"/>
    <w:multiLevelType w:val="hybridMultilevel"/>
    <w:tmpl w:val="FC783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7D6B"/>
    <w:multiLevelType w:val="hybridMultilevel"/>
    <w:tmpl w:val="C5ACF8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2B52"/>
    <w:multiLevelType w:val="hybridMultilevel"/>
    <w:tmpl w:val="F424B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C0DEA"/>
    <w:multiLevelType w:val="hybridMultilevel"/>
    <w:tmpl w:val="E13077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51F5"/>
    <w:multiLevelType w:val="hybridMultilevel"/>
    <w:tmpl w:val="5616FA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37105"/>
    <w:multiLevelType w:val="hybridMultilevel"/>
    <w:tmpl w:val="8C1A2E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A0C"/>
    <w:multiLevelType w:val="hybridMultilevel"/>
    <w:tmpl w:val="32C2A1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B23D2"/>
    <w:multiLevelType w:val="hybridMultilevel"/>
    <w:tmpl w:val="ABAA2B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C1B3D"/>
    <w:multiLevelType w:val="hybridMultilevel"/>
    <w:tmpl w:val="5AE2E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46643"/>
    <w:multiLevelType w:val="hybridMultilevel"/>
    <w:tmpl w:val="CBDC3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0DAD"/>
    <w:multiLevelType w:val="hybridMultilevel"/>
    <w:tmpl w:val="57AA6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56172"/>
    <w:multiLevelType w:val="hybridMultilevel"/>
    <w:tmpl w:val="EEA00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404D4"/>
    <w:multiLevelType w:val="hybridMultilevel"/>
    <w:tmpl w:val="514C2B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82FA4"/>
    <w:multiLevelType w:val="hybridMultilevel"/>
    <w:tmpl w:val="3F004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E6A66"/>
    <w:multiLevelType w:val="hybridMultilevel"/>
    <w:tmpl w:val="61767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54FFE"/>
    <w:multiLevelType w:val="hybridMultilevel"/>
    <w:tmpl w:val="EB3E63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17705"/>
    <w:multiLevelType w:val="hybridMultilevel"/>
    <w:tmpl w:val="CD90AB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75F1A"/>
    <w:multiLevelType w:val="hybridMultilevel"/>
    <w:tmpl w:val="57AE29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76E12"/>
    <w:multiLevelType w:val="hybridMultilevel"/>
    <w:tmpl w:val="C2D2A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5C0C8B5C">
      <w:start w:val="3"/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62FD4"/>
    <w:multiLevelType w:val="hybridMultilevel"/>
    <w:tmpl w:val="30D25D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227F5"/>
    <w:multiLevelType w:val="hybridMultilevel"/>
    <w:tmpl w:val="650297C8"/>
    <w:lvl w:ilvl="0" w:tplc="41CCC2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B4C9F"/>
    <w:multiLevelType w:val="hybridMultilevel"/>
    <w:tmpl w:val="48009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101D0"/>
    <w:multiLevelType w:val="hybridMultilevel"/>
    <w:tmpl w:val="96EE9A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66E22"/>
    <w:multiLevelType w:val="hybridMultilevel"/>
    <w:tmpl w:val="6C4E84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711C7"/>
    <w:multiLevelType w:val="hybridMultilevel"/>
    <w:tmpl w:val="04AA44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2F0A22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47DC2"/>
    <w:multiLevelType w:val="hybridMultilevel"/>
    <w:tmpl w:val="22F0A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14542"/>
    <w:multiLevelType w:val="hybridMultilevel"/>
    <w:tmpl w:val="2CA8AA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63F98"/>
    <w:multiLevelType w:val="hybridMultilevel"/>
    <w:tmpl w:val="80AEF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45C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5278E"/>
    <w:multiLevelType w:val="hybridMultilevel"/>
    <w:tmpl w:val="C78A8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A92761"/>
    <w:multiLevelType w:val="hybridMultilevel"/>
    <w:tmpl w:val="F6060B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568DF"/>
    <w:multiLevelType w:val="hybridMultilevel"/>
    <w:tmpl w:val="9692E1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E5C18"/>
    <w:multiLevelType w:val="hybridMultilevel"/>
    <w:tmpl w:val="EF82EB3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E487140">
      <w:start w:val="2"/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06C5FBE"/>
    <w:multiLevelType w:val="hybridMultilevel"/>
    <w:tmpl w:val="C8982C32"/>
    <w:lvl w:ilvl="0" w:tplc="F7620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1ED5"/>
    <w:multiLevelType w:val="hybridMultilevel"/>
    <w:tmpl w:val="B7C45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41544"/>
    <w:multiLevelType w:val="hybridMultilevel"/>
    <w:tmpl w:val="643CBE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A11DF"/>
    <w:multiLevelType w:val="hybridMultilevel"/>
    <w:tmpl w:val="1638EB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00E3E"/>
    <w:multiLevelType w:val="hybridMultilevel"/>
    <w:tmpl w:val="5F6063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97FC8"/>
    <w:multiLevelType w:val="hybridMultilevel"/>
    <w:tmpl w:val="38020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D6870"/>
    <w:multiLevelType w:val="hybridMultilevel"/>
    <w:tmpl w:val="706EC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23164"/>
    <w:multiLevelType w:val="hybridMultilevel"/>
    <w:tmpl w:val="6DCCAD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22"/>
  </w:num>
  <w:num w:numId="2" w16cid:durableId="1996059898">
    <w:abstractNumId w:val="32"/>
  </w:num>
  <w:num w:numId="3" w16cid:durableId="374082868">
    <w:abstractNumId w:val="19"/>
  </w:num>
  <w:num w:numId="4" w16cid:durableId="1077438471">
    <w:abstractNumId w:val="12"/>
  </w:num>
  <w:num w:numId="5" w16cid:durableId="1284078484">
    <w:abstractNumId w:val="1"/>
  </w:num>
  <w:num w:numId="6" w16cid:durableId="1185906071">
    <w:abstractNumId w:val="27"/>
  </w:num>
  <w:num w:numId="7" w16cid:durableId="1751852081">
    <w:abstractNumId w:val="24"/>
  </w:num>
  <w:num w:numId="8" w16cid:durableId="673608763">
    <w:abstractNumId w:val="23"/>
  </w:num>
  <w:num w:numId="9" w16cid:durableId="701826812">
    <w:abstractNumId w:val="20"/>
  </w:num>
  <w:num w:numId="10" w16cid:durableId="1270815114">
    <w:abstractNumId w:val="0"/>
  </w:num>
  <w:num w:numId="11" w16cid:durableId="1186023490">
    <w:abstractNumId w:val="7"/>
  </w:num>
  <w:num w:numId="12" w16cid:durableId="1451587647">
    <w:abstractNumId w:val="9"/>
  </w:num>
  <w:num w:numId="13" w16cid:durableId="230192246">
    <w:abstractNumId w:val="33"/>
  </w:num>
  <w:num w:numId="14" w16cid:durableId="1389066953">
    <w:abstractNumId w:val="31"/>
  </w:num>
  <w:num w:numId="15" w16cid:durableId="1103383754">
    <w:abstractNumId w:val="13"/>
  </w:num>
  <w:num w:numId="16" w16cid:durableId="856389053">
    <w:abstractNumId w:val="18"/>
  </w:num>
  <w:num w:numId="17" w16cid:durableId="318660095">
    <w:abstractNumId w:val="2"/>
  </w:num>
  <w:num w:numId="18" w16cid:durableId="1031685407">
    <w:abstractNumId w:val="26"/>
  </w:num>
  <w:num w:numId="19" w16cid:durableId="1884704970">
    <w:abstractNumId w:val="40"/>
  </w:num>
  <w:num w:numId="20" w16cid:durableId="358170083">
    <w:abstractNumId w:val="17"/>
  </w:num>
  <w:num w:numId="21" w16cid:durableId="676736257">
    <w:abstractNumId w:val="21"/>
  </w:num>
  <w:num w:numId="22" w16cid:durableId="1300650919">
    <w:abstractNumId w:val="10"/>
  </w:num>
  <w:num w:numId="23" w16cid:durableId="1172833622">
    <w:abstractNumId w:val="34"/>
  </w:num>
  <w:num w:numId="24" w16cid:durableId="595137865">
    <w:abstractNumId w:val="25"/>
  </w:num>
  <w:num w:numId="25" w16cid:durableId="693723889">
    <w:abstractNumId w:val="16"/>
  </w:num>
  <w:num w:numId="26" w16cid:durableId="114688775">
    <w:abstractNumId w:val="29"/>
  </w:num>
  <w:num w:numId="27" w16cid:durableId="1441336044">
    <w:abstractNumId w:val="15"/>
  </w:num>
  <w:num w:numId="28" w16cid:durableId="748698913">
    <w:abstractNumId w:val="11"/>
  </w:num>
  <w:num w:numId="29" w16cid:durableId="1034425916">
    <w:abstractNumId w:val="14"/>
  </w:num>
  <w:num w:numId="30" w16cid:durableId="634019097">
    <w:abstractNumId w:val="5"/>
  </w:num>
  <w:num w:numId="31" w16cid:durableId="1006396727">
    <w:abstractNumId w:val="37"/>
  </w:num>
  <w:num w:numId="32" w16cid:durableId="616566688">
    <w:abstractNumId w:val="38"/>
  </w:num>
  <w:num w:numId="33" w16cid:durableId="2024941211">
    <w:abstractNumId w:val="35"/>
  </w:num>
  <w:num w:numId="34" w16cid:durableId="23215621">
    <w:abstractNumId w:val="30"/>
  </w:num>
  <w:num w:numId="35" w16cid:durableId="1341466263">
    <w:abstractNumId w:val="39"/>
  </w:num>
  <w:num w:numId="36" w16cid:durableId="21905372">
    <w:abstractNumId w:val="8"/>
  </w:num>
  <w:num w:numId="37" w16cid:durableId="1277641515">
    <w:abstractNumId w:val="36"/>
  </w:num>
  <w:num w:numId="38" w16cid:durableId="1827747131">
    <w:abstractNumId w:val="28"/>
  </w:num>
  <w:num w:numId="39" w16cid:durableId="1358770950">
    <w:abstractNumId w:val="6"/>
  </w:num>
  <w:num w:numId="40" w16cid:durableId="1559314939">
    <w:abstractNumId w:val="4"/>
  </w:num>
  <w:num w:numId="41" w16cid:durableId="521168228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9EE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15D35"/>
    <w:rsid w:val="00020305"/>
    <w:rsid w:val="00021676"/>
    <w:rsid w:val="00021C62"/>
    <w:rsid w:val="00024175"/>
    <w:rsid w:val="00024B3E"/>
    <w:rsid w:val="000263B5"/>
    <w:rsid w:val="0002675B"/>
    <w:rsid w:val="00027339"/>
    <w:rsid w:val="00027829"/>
    <w:rsid w:val="00030566"/>
    <w:rsid w:val="00030B97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37A17"/>
    <w:rsid w:val="00040D3B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5D3A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0A6E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F54"/>
    <w:rsid w:val="00083C80"/>
    <w:rsid w:val="00084E60"/>
    <w:rsid w:val="000858BA"/>
    <w:rsid w:val="00086A35"/>
    <w:rsid w:val="000871DF"/>
    <w:rsid w:val="00087466"/>
    <w:rsid w:val="00087E91"/>
    <w:rsid w:val="00090AFC"/>
    <w:rsid w:val="00090C12"/>
    <w:rsid w:val="00090E36"/>
    <w:rsid w:val="00094737"/>
    <w:rsid w:val="000958C6"/>
    <w:rsid w:val="00095C58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209"/>
    <w:rsid w:val="000C1612"/>
    <w:rsid w:val="000C192B"/>
    <w:rsid w:val="000C1E19"/>
    <w:rsid w:val="000C30A9"/>
    <w:rsid w:val="000C3563"/>
    <w:rsid w:val="000C4290"/>
    <w:rsid w:val="000C60EA"/>
    <w:rsid w:val="000D32EB"/>
    <w:rsid w:val="000D3A71"/>
    <w:rsid w:val="000D5961"/>
    <w:rsid w:val="000E1314"/>
    <w:rsid w:val="000E35CE"/>
    <w:rsid w:val="000E3A56"/>
    <w:rsid w:val="000E5046"/>
    <w:rsid w:val="000E6B52"/>
    <w:rsid w:val="000E7BFA"/>
    <w:rsid w:val="000F263B"/>
    <w:rsid w:val="000F3153"/>
    <w:rsid w:val="000F3596"/>
    <w:rsid w:val="000F4C80"/>
    <w:rsid w:val="000F68A0"/>
    <w:rsid w:val="000F7985"/>
    <w:rsid w:val="000F79A8"/>
    <w:rsid w:val="00102748"/>
    <w:rsid w:val="001041B6"/>
    <w:rsid w:val="00105986"/>
    <w:rsid w:val="00106106"/>
    <w:rsid w:val="00106261"/>
    <w:rsid w:val="00107907"/>
    <w:rsid w:val="001116F5"/>
    <w:rsid w:val="001119CF"/>
    <w:rsid w:val="00115A6C"/>
    <w:rsid w:val="0012015D"/>
    <w:rsid w:val="00120A39"/>
    <w:rsid w:val="00123009"/>
    <w:rsid w:val="001239EE"/>
    <w:rsid w:val="00124668"/>
    <w:rsid w:val="00124C00"/>
    <w:rsid w:val="00125CE2"/>
    <w:rsid w:val="001265F4"/>
    <w:rsid w:val="001332B4"/>
    <w:rsid w:val="00133E0F"/>
    <w:rsid w:val="0013474D"/>
    <w:rsid w:val="00134D8A"/>
    <w:rsid w:val="001370A2"/>
    <w:rsid w:val="001424DA"/>
    <w:rsid w:val="00143E30"/>
    <w:rsid w:val="001446D8"/>
    <w:rsid w:val="00145C33"/>
    <w:rsid w:val="00146014"/>
    <w:rsid w:val="0014649E"/>
    <w:rsid w:val="00153876"/>
    <w:rsid w:val="00154658"/>
    <w:rsid w:val="00156757"/>
    <w:rsid w:val="0016079E"/>
    <w:rsid w:val="00161FDE"/>
    <w:rsid w:val="001627A9"/>
    <w:rsid w:val="00162892"/>
    <w:rsid w:val="00162975"/>
    <w:rsid w:val="00163017"/>
    <w:rsid w:val="001636CF"/>
    <w:rsid w:val="001661C1"/>
    <w:rsid w:val="00166F1B"/>
    <w:rsid w:val="00166FDF"/>
    <w:rsid w:val="0017064A"/>
    <w:rsid w:val="00172FF0"/>
    <w:rsid w:val="001746A8"/>
    <w:rsid w:val="00175FB7"/>
    <w:rsid w:val="00177741"/>
    <w:rsid w:val="001827A5"/>
    <w:rsid w:val="001832D8"/>
    <w:rsid w:val="00185374"/>
    <w:rsid w:val="0018566C"/>
    <w:rsid w:val="001869C6"/>
    <w:rsid w:val="0019091E"/>
    <w:rsid w:val="00191A71"/>
    <w:rsid w:val="00191AE6"/>
    <w:rsid w:val="00192022"/>
    <w:rsid w:val="001930E8"/>
    <w:rsid w:val="00196257"/>
    <w:rsid w:val="001A20A3"/>
    <w:rsid w:val="001A2CFF"/>
    <w:rsid w:val="001A320A"/>
    <w:rsid w:val="001A3DEE"/>
    <w:rsid w:val="001A644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3C54"/>
    <w:rsid w:val="001C4D11"/>
    <w:rsid w:val="001D0159"/>
    <w:rsid w:val="001D0F58"/>
    <w:rsid w:val="001D6232"/>
    <w:rsid w:val="001D764A"/>
    <w:rsid w:val="001E247E"/>
    <w:rsid w:val="001E5366"/>
    <w:rsid w:val="001F2A59"/>
    <w:rsid w:val="001F3889"/>
    <w:rsid w:val="001F4D80"/>
    <w:rsid w:val="001F4D8C"/>
    <w:rsid w:val="001F656F"/>
    <w:rsid w:val="001F6ED6"/>
    <w:rsid w:val="001F77B0"/>
    <w:rsid w:val="00200078"/>
    <w:rsid w:val="00200EDB"/>
    <w:rsid w:val="002017FD"/>
    <w:rsid w:val="002024C9"/>
    <w:rsid w:val="00204B1B"/>
    <w:rsid w:val="00204F1A"/>
    <w:rsid w:val="002062CA"/>
    <w:rsid w:val="00206A0F"/>
    <w:rsid w:val="0021437D"/>
    <w:rsid w:val="002155B7"/>
    <w:rsid w:val="00216D88"/>
    <w:rsid w:val="00223993"/>
    <w:rsid w:val="0022697F"/>
    <w:rsid w:val="00227619"/>
    <w:rsid w:val="00230E8A"/>
    <w:rsid w:val="00231EAE"/>
    <w:rsid w:val="00233F88"/>
    <w:rsid w:val="002350C7"/>
    <w:rsid w:val="002358DB"/>
    <w:rsid w:val="00236F64"/>
    <w:rsid w:val="0024017F"/>
    <w:rsid w:val="00244198"/>
    <w:rsid w:val="00244CDC"/>
    <w:rsid w:val="00245476"/>
    <w:rsid w:val="00245FE7"/>
    <w:rsid w:val="00247213"/>
    <w:rsid w:val="00250375"/>
    <w:rsid w:val="00253604"/>
    <w:rsid w:val="00255445"/>
    <w:rsid w:val="00260272"/>
    <w:rsid w:val="00263D90"/>
    <w:rsid w:val="00265AEA"/>
    <w:rsid w:val="00267179"/>
    <w:rsid w:val="00267A56"/>
    <w:rsid w:val="00272C19"/>
    <w:rsid w:val="002737A7"/>
    <w:rsid w:val="002757AC"/>
    <w:rsid w:val="00275801"/>
    <w:rsid w:val="002803EC"/>
    <w:rsid w:val="00280CF3"/>
    <w:rsid w:val="00282754"/>
    <w:rsid w:val="002843A0"/>
    <w:rsid w:val="0028585B"/>
    <w:rsid w:val="00286859"/>
    <w:rsid w:val="00286915"/>
    <w:rsid w:val="002875DC"/>
    <w:rsid w:val="002915DE"/>
    <w:rsid w:val="00293358"/>
    <w:rsid w:val="00293EDD"/>
    <w:rsid w:val="00294E44"/>
    <w:rsid w:val="002976AB"/>
    <w:rsid w:val="002A0F44"/>
    <w:rsid w:val="002A1798"/>
    <w:rsid w:val="002A3319"/>
    <w:rsid w:val="002A49DB"/>
    <w:rsid w:val="002A4FF6"/>
    <w:rsid w:val="002A788D"/>
    <w:rsid w:val="002B0B7C"/>
    <w:rsid w:val="002B26E5"/>
    <w:rsid w:val="002B3D6D"/>
    <w:rsid w:val="002B6A79"/>
    <w:rsid w:val="002B7762"/>
    <w:rsid w:val="002C0732"/>
    <w:rsid w:val="002C0D8A"/>
    <w:rsid w:val="002C0F9B"/>
    <w:rsid w:val="002C1780"/>
    <w:rsid w:val="002C19B0"/>
    <w:rsid w:val="002C2DAB"/>
    <w:rsid w:val="002C5C04"/>
    <w:rsid w:val="002D13B5"/>
    <w:rsid w:val="002D2A2C"/>
    <w:rsid w:val="002D3696"/>
    <w:rsid w:val="002D469F"/>
    <w:rsid w:val="002D483E"/>
    <w:rsid w:val="002D61E5"/>
    <w:rsid w:val="002E1300"/>
    <w:rsid w:val="002E5C42"/>
    <w:rsid w:val="002E68D1"/>
    <w:rsid w:val="002E75DD"/>
    <w:rsid w:val="002F0FBD"/>
    <w:rsid w:val="002F1D0A"/>
    <w:rsid w:val="002F3E70"/>
    <w:rsid w:val="002F4CE7"/>
    <w:rsid w:val="002F678C"/>
    <w:rsid w:val="002F7CE5"/>
    <w:rsid w:val="00300B83"/>
    <w:rsid w:val="00304168"/>
    <w:rsid w:val="00305861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A38"/>
    <w:rsid w:val="00321BAD"/>
    <w:rsid w:val="00322AE7"/>
    <w:rsid w:val="00323A7B"/>
    <w:rsid w:val="0032502D"/>
    <w:rsid w:val="00326E9E"/>
    <w:rsid w:val="003305ED"/>
    <w:rsid w:val="0033117F"/>
    <w:rsid w:val="00335EAD"/>
    <w:rsid w:val="003374CA"/>
    <w:rsid w:val="0034016F"/>
    <w:rsid w:val="00343087"/>
    <w:rsid w:val="00345569"/>
    <w:rsid w:val="003469C5"/>
    <w:rsid w:val="00346B02"/>
    <w:rsid w:val="00346FA1"/>
    <w:rsid w:val="00350506"/>
    <w:rsid w:val="00350E5A"/>
    <w:rsid w:val="003521C2"/>
    <w:rsid w:val="003521E4"/>
    <w:rsid w:val="00352378"/>
    <w:rsid w:val="00352F69"/>
    <w:rsid w:val="0035493A"/>
    <w:rsid w:val="00354E22"/>
    <w:rsid w:val="00360E07"/>
    <w:rsid w:val="00361FD0"/>
    <w:rsid w:val="00363305"/>
    <w:rsid w:val="00364139"/>
    <w:rsid w:val="00365A6A"/>
    <w:rsid w:val="00367B41"/>
    <w:rsid w:val="00370A2A"/>
    <w:rsid w:val="00371894"/>
    <w:rsid w:val="003721A3"/>
    <w:rsid w:val="0037293C"/>
    <w:rsid w:val="00372D32"/>
    <w:rsid w:val="003733D1"/>
    <w:rsid w:val="00373DEE"/>
    <w:rsid w:val="00375D4D"/>
    <w:rsid w:val="00375FDF"/>
    <w:rsid w:val="0037605A"/>
    <w:rsid w:val="003808B8"/>
    <w:rsid w:val="00380CFA"/>
    <w:rsid w:val="00383046"/>
    <w:rsid w:val="00383901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0EDC"/>
    <w:rsid w:val="003A1CF5"/>
    <w:rsid w:val="003A3933"/>
    <w:rsid w:val="003A4717"/>
    <w:rsid w:val="003A4A1C"/>
    <w:rsid w:val="003B08C4"/>
    <w:rsid w:val="003B3648"/>
    <w:rsid w:val="003B5A30"/>
    <w:rsid w:val="003C145D"/>
    <w:rsid w:val="003C51E6"/>
    <w:rsid w:val="003C65E8"/>
    <w:rsid w:val="003D0636"/>
    <w:rsid w:val="003D0651"/>
    <w:rsid w:val="003D2D88"/>
    <w:rsid w:val="003D34C5"/>
    <w:rsid w:val="003D5BBA"/>
    <w:rsid w:val="003D6C9C"/>
    <w:rsid w:val="003E1FD7"/>
    <w:rsid w:val="003E6B5B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06E00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2444B"/>
    <w:rsid w:val="004310DC"/>
    <w:rsid w:val="004344C8"/>
    <w:rsid w:val="0043562F"/>
    <w:rsid w:val="00436233"/>
    <w:rsid w:val="004363A8"/>
    <w:rsid w:val="00436B85"/>
    <w:rsid w:val="00436EF6"/>
    <w:rsid w:val="00436F52"/>
    <w:rsid w:val="00440773"/>
    <w:rsid w:val="00443167"/>
    <w:rsid w:val="004437B1"/>
    <w:rsid w:val="00443BE1"/>
    <w:rsid w:val="0045021D"/>
    <w:rsid w:val="00450A33"/>
    <w:rsid w:val="00451369"/>
    <w:rsid w:val="004519E3"/>
    <w:rsid w:val="00452C98"/>
    <w:rsid w:val="00453DAB"/>
    <w:rsid w:val="00454E09"/>
    <w:rsid w:val="00456E5D"/>
    <w:rsid w:val="00457E18"/>
    <w:rsid w:val="004610A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3467"/>
    <w:rsid w:val="00474228"/>
    <w:rsid w:val="004761B2"/>
    <w:rsid w:val="004764FE"/>
    <w:rsid w:val="004813C7"/>
    <w:rsid w:val="00485C6C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09B2"/>
    <w:rsid w:val="004B14BA"/>
    <w:rsid w:val="004B1D17"/>
    <w:rsid w:val="004B307C"/>
    <w:rsid w:val="004B43DD"/>
    <w:rsid w:val="004B4A3C"/>
    <w:rsid w:val="004B4ABB"/>
    <w:rsid w:val="004B5B29"/>
    <w:rsid w:val="004B7CD1"/>
    <w:rsid w:val="004C2071"/>
    <w:rsid w:val="004C36F8"/>
    <w:rsid w:val="004C635E"/>
    <w:rsid w:val="004C6433"/>
    <w:rsid w:val="004C6FE6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60"/>
    <w:rsid w:val="004E5B58"/>
    <w:rsid w:val="004E63FC"/>
    <w:rsid w:val="004E6475"/>
    <w:rsid w:val="004E7519"/>
    <w:rsid w:val="004E7C57"/>
    <w:rsid w:val="004F04B4"/>
    <w:rsid w:val="004F1682"/>
    <w:rsid w:val="004F39B8"/>
    <w:rsid w:val="004F4A6B"/>
    <w:rsid w:val="004F7282"/>
    <w:rsid w:val="005006B3"/>
    <w:rsid w:val="00502C69"/>
    <w:rsid w:val="00504018"/>
    <w:rsid w:val="00504186"/>
    <w:rsid w:val="0050690B"/>
    <w:rsid w:val="00507198"/>
    <w:rsid w:val="005101ED"/>
    <w:rsid w:val="00510395"/>
    <w:rsid w:val="00512286"/>
    <w:rsid w:val="00512B9B"/>
    <w:rsid w:val="0051388C"/>
    <w:rsid w:val="005153BC"/>
    <w:rsid w:val="00515EDA"/>
    <w:rsid w:val="00516024"/>
    <w:rsid w:val="005170E8"/>
    <w:rsid w:val="00520B20"/>
    <w:rsid w:val="005237B5"/>
    <w:rsid w:val="0052472C"/>
    <w:rsid w:val="00527793"/>
    <w:rsid w:val="005322B3"/>
    <w:rsid w:val="00534EE8"/>
    <w:rsid w:val="00537206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1FE"/>
    <w:rsid w:val="00556C92"/>
    <w:rsid w:val="0056094D"/>
    <w:rsid w:val="0056187B"/>
    <w:rsid w:val="00561FD6"/>
    <w:rsid w:val="0056212B"/>
    <w:rsid w:val="00565AAB"/>
    <w:rsid w:val="00567C81"/>
    <w:rsid w:val="00571B3A"/>
    <w:rsid w:val="00572985"/>
    <w:rsid w:val="00573EA1"/>
    <w:rsid w:val="00574C62"/>
    <w:rsid w:val="00577B3A"/>
    <w:rsid w:val="00580982"/>
    <w:rsid w:val="00580B9B"/>
    <w:rsid w:val="00580E13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AA0"/>
    <w:rsid w:val="005A2F59"/>
    <w:rsid w:val="005A3C38"/>
    <w:rsid w:val="005A76D8"/>
    <w:rsid w:val="005B1A42"/>
    <w:rsid w:val="005B2B5D"/>
    <w:rsid w:val="005B3333"/>
    <w:rsid w:val="005B3840"/>
    <w:rsid w:val="005B38F7"/>
    <w:rsid w:val="005B3AF7"/>
    <w:rsid w:val="005B48AA"/>
    <w:rsid w:val="005B71FE"/>
    <w:rsid w:val="005B7443"/>
    <w:rsid w:val="005B790F"/>
    <w:rsid w:val="005C4159"/>
    <w:rsid w:val="005C528B"/>
    <w:rsid w:val="005C5C66"/>
    <w:rsid w:val="005C6F7F"/>
    <w:rsid w:val="005C776A"/>
    <w:rsid w:val="005C7CCF"/>
    <w:rsid w:val="005D003A"/>
    <w:rsid w:val="005E00FB"/>
    <w:rsid w:val="005E10C4"/>
    <w:rsid w:val="005E19E3"/>
    <w:rsid w:val="005E1CA2"/>
    <w:rsid w:val="005E2FD4"/>
    <w:rsid w:val="005E34BB"/>
    <w:rsid w:val="005E3CAA"/>
    <w:rsid w:val="005E6374"/>
    <w:rsid w:val="005E6617"/>
    <w:rsid w:val="005E6A24"/>
    <w:rsid w:val="005E7EDB"/>
    <w:rsid w:val="005E7F67"/>
    <w:rsid w:val="005F0042"/>
    <w:rsid w:val="005F0481"/>
    <w:rsid w:val="005F0ACC"/>
    <w:rsid w:val="005F3427"/>
    <w:rsid w:val="005F4415"/>
    <w:rsid w:val="005F57EB"/>
    <w:rsid w:val="005F588B"/>
    <w:rsid w:val="005F602B"/>
    <w:rsid w:val="005F729D"/>
    <w:rsid w:val="005F7712"/>
    <w:rsid w:val="005F77B1"/>
    <w:rsid w:val="005F7EDA"/>
    <w:rsid w:val="006003E9"/>
    <w:rsid w:val="00600B74"/>
    <w:rsid w:val="00600D76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36F0"/>
    <w:rsid w:val="006154CB"/>
    <w:rsid w:val="0061660B"/>
    <w:rsid w:val="00620B41"/>
    <w:rsid w:val="006220D8"/>
    <w:rsid w:val="00623C98"/>
    <w:rsid w:val="00624490"/>
    <w:rsid w:val="00624F12"/>
    <w:rsid w:val="0062529B"/>
    <w:rsid w:val="00631FD4"/>
    <w:rsid w:val="00632625"/>
    <w:rsid w:val="006340A4"/>
    <w:rsid w:val="00636458"/>
    <w:rsid w:val="00641286"/>
    <w:rsid w:val="00641D8C"/>
    <w:rsid w:val="00645288"/>
    <w:rsid w:val="00646795"/>
    <w:rsid w:val="00651205"/>
    <w:rsid w:val="0065176C"/>
    <w:rsid w:val="00651D51"/>
    <w:rsid w:val="00654E5E"/>
    <w:rsid w:val="00656A0E"/>
    <w:rsid w:val="00661A1F"/>
    <w:rsid w:val="006626E9"/>
    <w:rsid w:val="00663A19"/>
    <w:rsid w:val="00665BB1"/>
    <w:rsid w:val="00666017"/>
    <w:rsid w:val="00666555"/>
    <w:rsid w:val="00667D06"/>
    <w:rsid w:val="00670158"/>
    <w:rsid w:val="00670BA8"/>
    <w:rsid w:val="00670E63"/>
    <w:rsid w:val="00671901"/>
    <w:rsid w:val="00680F3E"/>
    <w:rsid w:val="00682228"/>
    <w:rsid w:val="006836BA"/>
    <w:rsid w:val="006856F1"/>
    <w:rsid w:val="00685ED2"/>
    <w:rsid w:val="00692F33"/>
    <w:rsid w:val="0069631C"/>
    <w:rsid w:val="006A34A4"/>
    <w:rsid w:val="006A3D0B"/>
    <w:rsid w:val="006A56AF"/>
    <w:rsid w:val="006A7E74"/>
    <w:rsid w:val="006B1CB2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585D"/>
    <w:rsid w:val="006C6B20"/>
    <w:rsid w:val="006C6D7B"/>
    <w:rsid w:val="006C772A"/>
    <w:rsid w:val="006D110A"/>
    <w:rsid w:val="006D19EF"/>
    <w:rsid w:val="006D3864"/>
    <w:rsid w:val="006D3B7B"/>
    <w:rsid w:val="006D3BE0"/>
    <w:rsid w:val="006D404C"/>
    <w:rsid w:val="006D4BA4"/>
    <w:rsid w:val="006E06EF"/>
    <w:rsid w:val="006E0A62"/>
    <w:rsid w:val="006E0EC9"/>
    <w:rsid w:val="006E1C95"/>
    <w:rsid w:val="006E1DFC"/>
    <w:rsid w:val="006E42E1"/>
    <w:rsid w:val="006E5448"/>
    <w:rsid w:val="006E6E4E"/>
    <w:rsid w:val="006F0822"/>
    <w:rsid w:val="006F3E91"/>
    <w:rsid w:val="006F4145"/>
    <w:rsid w:val="006F6C0B"/>
    <w:rsid w:val="006F748E"/>
    <w:rsid w:val="006F75EC"/>
    <w:rsid w:val="00701812"/>
    <w:rsid w:val="007020E5"/>
    <w:rsid w:val="00702CD6"/>
    <w:rsid w:val="00705849"/>
    <w:rsid w:val="0071023C"/>
    <w:rsid w:val="00711B8A"/>
    <w:rsid w:val="00714976"/>
    <w:rsid w:val="00716CB2"/>
    <w:rsid w:val="00717DD0"/>
    <w:rsid w:val="00717E87"/>
    <w:rsid w:val="0072209C"/>
    <w:rsid w:val="0072396F"/>
    <w:rsid w:val="00723EB9"/>
    <w:rsid w:val="00724350"/>
    <w:rsid w:val="0072482E"/>
    <w:rsid w:val="00724DE1"/>
    <w:rsid w:val="00732C7E"/>
    <w:rsid w:val="007348EF"/>
    <w:rsid w:val="00735288"/>
    <w:rsid w:val="007357E7"/>
    <w:rsid w:val="00736CC6"/>
    <w:rsid w:val="00737E6A"/>
    <w:rsid w:val="007416FB"/>
    <w:rsid w:val="00742D09"/>
    <w:rsid w:val="007439EA"/>
    <w:rsid w:val="00743FD5"/>
    <w:rsid w:val="00744D58"/>
    <w:rsid w:val="00745897"/>
    <w:rsid w:val="00751652"/>
    <w:rsid w:val="00751EF9"/>
    <w:rsid w:val="00752B78"/>
    <w:rsid w:val="007566F6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86F3F"/>
    <w:rsid w:val="00795D42"/>
    <w:rsid w:val="00796003"/>
    <w:rsid w:val="00797B22"/>
    <w:rsid w:val="00797C1E"/>
    <w:rsid w:val="007A0A7F"/>
    <w:rsid w:val="007A4153"/>
    <w:rsid w:val="007A41C5"/>
    <w:rsid w:val="007A594C"/>
    <w:rsid w:val="007A7C65"/>
    <w:rsid w:val="007B1382"/>
    <w:rsid w:val="007B1EC8"/>
    <w:rsid w:val="007B3A14"/>
    <w:rsid w:val="007B4AD4"/>
    <w:rsid w:val="007B6147"/>
    <w:rsid w:val="007B70FB"/>
    <w:rsid w:val="007C2CFD"/>
    <w:rsid w:val="007C63D6"/>
    <w:rsid w:val="007D22C9"/>
    <w:rsid w:val="007D3478"/>
    <w:rsid w:val="007D4E91"/>
    <w:rsid w:val="007D51D5"/>
    <w:rsid w:val="007D5807"/>
    <w:rsid w:val="007E0123"/>
    <w:rsid w:val="007E6E08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1E41"/>
    <w:rsid w:val="008126FD"/>
    <w:rsid w:val="00813552"/>
    <w:rsid w:val="00813BBC"/>
    <w:rsid w:val="00814F34"/>
    <w:rsid w:val="00815D0E"/>
    <w:rsid w:val="00817317"/>
    <w:rsid w:val="008213D1"/>
    <w:rsid w:val="0082303F"/>
    <w:rsid w:val="0082489D"/>
    <w:rsid w:val="00824C83"/>
    <w:rsid w:val="0083037F"/>
    <w:rsid w:val="00830FDC"/>
    <w:rsid w:val="0083139D"/>
    <w:rsid w:val="0083179D"/>
    <w:rsid w:val="008319BD"/>
    <w:rsid w:val="00835298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70B1"/>
    <w:rsid w:val="00857DAA"/>
    <w:rsid w:val="008614B2"/>
    <w:rsid w:val="008651B2"/>
    <w:rsid w:val="008663F1"/>
    <w:rsid w:val="00867489"/>
    <w:rsid w:val="00870430"/>
    <w:rsid w:val="00870FD9"/>
    <w:rsid w:val="0087180E"/>
    <w:rsid w:val="00872446"/>
    <w:rsid w:val="00874E0F"/>
    <w:rsid w:val="008756B5"/>
    <w:rsid w:val="008759D5"/>
    <w:rsid w:val="00877270"/>
    <w:rsid w:val="00882DC4"/>
    <w:rsid w:val="00883865"/>
    <w:rsid w:val="00884871"/>
    <w:rsid w:val="00884BA2"/>
    <w:rsid w:val="00886BE1"/>
    <w:rsid w:val="00886E97"/>
    <w:rsid w:val="00890E75"/>
    <w:rsid w:val="0089177C"/>
    <w:rsid w:val="00891832"/>
    <w:rsid w:val="0089190A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2E8D"/>
    <w:rsid w:val="008E35EA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91C"/>
    <w:rsid w:val="008F7A02"/>
    <w:rsid w:val="008F7BB9"/>
    <w:rsid w:val="008F7C3C"/>
    <w:rsid w:val="009107AA"/>
    <w:rsid w:val="00911708"/>
    <w:rsid w:val="00911C8F"/>
    <w:rsid w:val="00914E42"/>
    <w:rsid w:val="00915B7B"/>
    <w:rsid w:val="009164BE"/>
    <w:rsid w:val="00922A8F"/>
    <w:rsid w:val="00923A46"/>
    <w:rsid w:val="00924A0B"/>
    <w:rsid w:val="00926402"/>
    <w:rsid w:val="00927A1C"/>
    <w:rsid w:val="009304B6"/>
    <w:rsid w:val="009325D3"/>
    <w:rsid w:val="00932BB3"/>
    <w:rsid w:val="009333C6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417"/>
    <w:rsid w:val="009606A4"/>
    <w:rsid w:val="00960F79"/>
    <w:rsid w:val="009627DD"/>
    <w:rsid w:val="00964B6E"/>
    <w:rsid w:val="00967ADC"/>
    <w:rsid w:val="00973D63"/>
    <w:rsid w:val="009748EB"/>
    <w:rsid w:val="00975B89"/>
    <w:rsid w:val="00977501"/>
    <w:rsid w:val="00977E95"/>
    <w:rsid w:val="009801A4"/>
    <w:rsid w:val="009825AE"/>
    <w:rsid w:val="0098263B"/>
    <w:rsid w:val="00982E41"/>
    <w:rsid w:val="0098349A"/>
    <w:rsid w:val="0098478C"/>
    <w:rsid w:val="00984C11"/>
    <w:rsid w:val="00986904"/>
    <w:rsid w:val="00987A65"/>
    <w:rsid w:val="00992AF4"/>
    <w:rsid w:val="00997F6A"/>
    <w:rsid w:val="009A0F3A"/>
    <w:rsid w:val="009A14AF"/>
    <w:rsid w:val="009A2009"/>
    <w:rsid w:val="009A4E07"/>
    <w:rsid w:val="009A7404"/>
    <w:rsid w:val="009B12CD"/>
    <w:rsid w:val="009B24A3"/>
    <w:rsid w:val="009B34B5"/>
    <w:rsid w:val="009B41A7"/>
    <w:rsid w:val="009B42C5"/>
    <w:rsid w:val="009B4637"/>
    <w:rsid w:val="009B5483"/>
    <w:rsid w:val="009B68AA"/>
    <w:rsid w:val="009C0419"/>
    <w:rsid w:val="009C1E7A"/>
    <w:rsid w:val="009C2472"/>
    <w:rsid w:val="009C438B"/>
    <w:rsid w:val="009C494C"/>
    <w:rsid w:val="009C6B4F"/>
    <w:rsid w:val="009C7CCD"/>
    <w:rsid w:val="009D0CBE"/>
    <w:rsid w:val="009D1719"/>
    <w:rsid w:val="009D4789"/>
    <w:rsid w:val="009D5FCC"/>
    <w:rsid w:val="009E2646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416D"/>
    <w:rsid w:val="00A06C3B"/>
    <w:rsid w:val="00A13ABC"/>
    <w:rsid w:val="00A22906"/>
    <w:rsid w:val="00A24103"/>
    <w:rsid w:val="00A2435F"/>
    <w:rsid w:val="00A301C1"/>
    <w:rsid w:val="00A317B4"/>
    <w:rsid w:val="00A318A0"/>
    <w:rsid w:val="00A35A65"/>
    <w:rsid w:val="00A40112"/>
    <w:rsid w:val="00A40698"/>
    <w:rsid w:val="00A4152A"/>
    <w:rsid w:val="00A41932"/>
    <w:rsid w:val="00A41D09"/>
    <w:rsid w:val="00A4357A"/>
    <w:rsid w:val="00A4727B"/>
    <w:rsid w:val="00A4780E"/>
    <w:rsid w:val="00A511EA"/>
    <w:rsid w:val="00A51CC6"/>
    <w:rsid w:val="00A52BB2"/>
    <w:rsid w:val="00A5371F"/>
    <w:rsid w:val="00A55D64"/>
    <w:rsid w:val="00A56E51"/>
    <w:rsid w:val="00A56F19"/>
    <w:rsid w:val="00A6142F"/>
    <w:rsid w:val="00A62D77"/>
    <w:rsid w:val="00A6324C"/>
    <w:rsid w:val="00A63AAD"/>
    <w:rsid w:val="00A67E90"/>
    <w:rsid w:val="00A710E7"/>
    <w:rsid w:val="00A73D82"/>
    <w:rsid w:val="00A74499"/>
    <w:rsid w:val="00A77431"/>
    <w:rsid w:val="00A80264"/>
    <w:rsid w:val="00A80605"/>
    <w:rsid w:val="00A820FC"/>
    <w:rsid w:val="00A8517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1C1C"/>
    <w:rsid w:val="00AA3A41"/>
    <w:rsid w:val="00AA3B8E"/>
    <w:rsid w:val="00AA48F3"/>
    <w:rsid w:val="00AA6689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4C4"/>
    <w:rsid w:val="00AD050C"/>
    <w:rsid w:val="00AE0091"/>
    <w:rsid w:val="00AE1138"/>
    <w:rsid w:val="00AE1690"/>
    <w:rsid w:val="00AE2055"/>
    <w:rsid w:val="00AE293D"/>
    <w:rsid w:val="00AE2C7D"/>
    <w:rsid w:val="00AE5015"/>
    <w:rsid w:val="00AE6AC4"/>
    <w:rsid w:val="00AE6C32"/>
    <w:rsid w:val="00AE71BB"/>
    <w:rsid w:val="00AF1663"/>
    <w:rsid w:val="00AF17D5"/>
    <w:rsid w:val="00AF37B3"/>
    <w:rsid w:val="00AF393F"/>
    <w:rsid w:val="00AF3F63"/>
    <w:rsid w:val="00AF472E"/>
    <w:rsid w:val="00AF5599"/>
    <w:rsid w:val="00AF5BEF"/>
    <w:rsid w:val="00AF6752"/>
    <w:rsid w:val="00AF7093"/>
    <w:rsid w:val="00B010A6"/>
    <w:rsid w:val="00B017B3"/>
    <w:rsid w:val="00B01A01"/>
    <w:rsid w:val="00B04C25"/>
    <w:rsid w:val="00B04E64"/>
    <w:rsid w:val="00B0574A"/>
    <w:rsid w:val="00B07E67"/>
    <w:rsid w:val="00B07FD8"/>
    <w:rsid w:val="00B10781"/>
    <w:rsid w:val="00B1323E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3B5F"/>
    <w:rsid w:val="00B33CA1"/>
    <w:rsid w:val="00B33CBD"/>
    <w:rsid w:val="00B34DAB"/>
    <w:rsid w:val="00B35451"/>
    <w:rsid w:val="00B36EBC"/>
    <w:rsid w:val="00B400DC"/>
    <w:rsid w:val="00B43255"/>
    <w:rsid w:val="00B4504D"/>
    <w:rsid w:val="00B45BB8"/>
    <w:rsid w:val="00B46B7E"/>
    <w:rsid w:val="00B513A9"/>
    <w:rsid w:val="00B570C0"/>
    <w:rsid w:val="00B57123"/>
    <w:rsid w:val="00B5779E"/>
    <w:rsid w:val="00B605F2"/>
    <w:rsid w:val="00B616D5"/>
    <w:rsid w:val="00B6235F"/>
    <w:rsid w:val="00B63328"/>
    <w:rsid w:val="00B64461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3C6A"/>
    <w:rsid w:val="00BB4CC5"/>
    <w:rsid w:val="00BB4D8D"/>
    <w:rsid w:val="00BB681C"/>
    <w:rsid w:val="00BB6C6B"/>
    <w:rsid w:val="00BB7530"/>
    <w:rsid w:val="00BC28BF"/>
    <w:rsid w:val="00BC4467"/>
    <w:rsid w:val="00BD0011"/>
    <w:rsid w:val="00BD02DE"/>
    <w:rsid w:val="00BD1901"/>
    <w:rsid w:val="00BD23F7"/>
    <w:rsid w:val="00BD2A01"/>
    <w:rsid w:val="00BD5A54"/>
    <w:rsid w:val="00BD79FE"/>
    <w:rsid w:val="00BE4E47"/>
    <w:rsid w:val="00BE5F1B"/>
    <w:rsid w:val="00BF0E2A"/>
    <w:rsid w:val="00BF1112"/>
    <w:rsid w:val="00BF19E8"/>
    <w:rsid w:val="00BF28F8"/>
    <w:rsid w:val="00BF382E"/>
    <w:rsid w:val="00C00A77"/>
    <w:rsid w:val="00C02D09"/>
    <w:rsid w:val="00C03E13"/>
    <w:rsid w:val="00C060E2"/>
    <w:rsid w:val="00C06229"/>
    <w:rsid w:val="00C070D6"/>
    <w:rsid w:val="00C07289"/>
    <w:rsid w:val="00C10464"/>
    <w:rsid w:val="00C12508"/>
    <w:rsid w:val="00C16B73"/>
    <w:rsid w:val="00C2041E"/>
    <w:rsid w:val="00C25649"/>
    <w:rsid w:val="00C27375"/>
    <w:rsid w:val="00C3019B"/>
    <w:rsid w:val="00C31A94"/>
    <w:rsid w:val="00C3212C"/>
    <w:rsid w:val="00C337BD"/>
    <w:rsid w:val="00C339AF"/>
    <w:rsid w:val="00C33A44"/>
    <w:rsid w:val="00C33F60"/>
    <w:rsid w:val="00C35840"/>
    <w:rsid w:val="00C362F7"/>
    <w:rsid w:val="00C3633E"/>
    <w:rsid w:val="00C3635F"/>
    <w:rsid w:val="00C363EE"/>
    <w:rsid w:val="00C3704D"/>
    <w:rsid w:val="00C378D2"/>
    <w:rsid w:val="00C409FE"/>
    <w:rsid w:val="00C4119A"/>
    <w:rsid w:val="00C41535"/>
    <w:rsid w:val="00C43610"/>
    <w:rsid w:val="00C43BC1"/>
    <w:rsid w:val="00C45614"/>
    <w:rsid w:val="00C461E0"/>
    <w:rsid w:val="00C50A09"/>
    <w:rsid w:val="00C50F30"/>
    <w:rsid w:val="00C52A62"/>
    <w:rsid w:val="00C53472"/>
    <w:rsid w:val="00C543A6"/>
    <w:rsid w:val="00C5534D"/>
    <w:rsid w:val="00C56684"/>
    <w:rsid w:val="00C5683E"/>
    <w:rsid w:val="00C56C61"/>
    <w:rsid w:val="00C56C66"/>
    <w:rsid w:val="00C57CF2"/>
    <w:rsid w:val="00C601AF"/>
    <w:rsid w:val="00C622A6"/>
    <w:rsid w:val="00C62E01"/>
    <w:rsid w:val="00C63C37"/>
    <w:rsid w:val="00C64A69"/>
    <w:rsid w:val="00C64D9B"/>
    <w:rsid w:val="00C65C28"/>
    <w:rsid w:val="00C66AFE"/>
    <w:rsid w:val="00C6708D"/>
    <w:rsid w:val="00C70A5C"/>
    <w:rsid w:val="00C70BB6"/>
    <w:rsid w:val="00C73363"/>
    <w:rsid w:val="00C73915"/>
    <w:rsid w:val="00C745E3"/>
    <w:rsid w:val="00C75089"/>
    <w:rsid w:val="00C76C8D"/>
    <w:rsid w:val="00C77EE6"/>
    <w:rsid w:val="00C80276"/>
    <w:rsid w:val="00C81351"/>
    <w:rsid w:val="00C82D13"/>
    <w:rsid w:val="00C83F78"/>
    <w:rsid w:val="00C846AB"/>
    <w:rsid w:val="00C84A0E"/>
    <w:rsid w:val="00C855B3"/>
    <w:rsid w:val="00C859B9"/>
    <w:rsid w:val="00C85B04"/>
    <w:rsid w:val="00C92339"/>
    <w:rsid w:val="00C965DC"/>
    <w:rsid w:val="00C96DD5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3BA8"/>
    <w:rsid w:val="00CB4F69"/>
    <w:rsid w:val="00CB5ECA"/>
    <w:rsid w:val="00CB79EB"/>
    <w:rsid w:val="00CC07E1"/>
    <w:rsid w:val="00CC3A61"/>
    <w:rsid w:val="00CD05C3"/>
    <w:rsid w:val="00CD0E6A"/>
    <w:rsid w:val="00CD11D6"/>
    <w:rsid w:val="00CD1603"/>
    <w:rsid w:val="00CD22FD"/>
    <w:rsid w:val="00CD3061"/>
    <w:rsid w:val="00CD30CC"/>
    <w:rsid w:val="00CD326D"/>
    <w:rsid w:val="00CD4365"/>
    <w:rsid w:val="00CD458A"/>
    <w:rsid w:val="00CD4D3C"/>
    <w:rsid w:val="00CD4E26"/>
    <w:rsid w:val="00CD5B6B"/>
    <w:rsid w:val="00CD76AB"/>
    <w:rsid w:val="00CE1D11"/>
    <w:rsid w:val="00CE2081"/>
    <w:rsid w:val="00CE20C1"/>
    <w:rsid w:val="00CE2384"/>
    <w:rsid w:val="00CE2C5C"/>
    <w:rsid w:val="00CE3E7F"/>
    <w:rsid w:val="00CE5057"/>
    <w:rsid w:val="00CE56EB"/>
    <w:rsid w:val="00CE735D"/>
    <w:rsid w:val="00CF0884"/>
    <w:rsid w:val="00CF0D43"/>
    <w:rsid w:val="00CF46CD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6DD5"/>
    <w:rsid w:val="00D07632"/>
    <w:rsid w:val="00D12CF5"/>
    <w:rsid w:val="00D142FE"/>
    <w:rsid w:val="00D14922"/>
    <w:rsid w:val="00D16FE9"/>
    <w:rsid w:val="00D172E5"/>
    <w:rsid w:val="00D240A7"/>
    <w:rsid w:val="00D25986"/>
    <w:rsid w:val="00D30694"/>
    <w:rsid w:val="00D33733"/>
    <w:rsid w:val="00D33B2E"/>
    <w:rsid w:val="00D33BCD"/>
    <w:rsid w:val="00D35E60"/>
    <w:rsid w:val="00D37813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4E07"/>
    <w:rsid w:val="00D632BA"/>
    <w:rsid w:val="00D639DB"/>
    <w:rsid w:val="00D647F6"/>
    <w:rsid w:val="00D64822"/>
    <w:rsid w:val="00D64EF5"/>
    <w:rsid w:val="00D666CC"/>
    <w:rsid w:val="00D705E4"/>
    <w:rsid w:val="00D70B6F"/>
    <w:rsid w:val="00D719D8"/>
    <w:rsid w:val="00D7550C"/>
    <w:rsid w:val="00D75B15"/>
    <w:rsid w:val="00D85E67"/>
    <w:rsid w:val="00D86229"/>
    <w:rsid w:val="00D866E5"/>
    <w:rsid w:val="00D90161"/>
    <w:rsid w:val="00D90629"/>
    <w:rsid w:val="00D927F5"/>
    <w:rsid w:val="00D93494"/>
    <w:rsid w:val="00D94929"/>
    <w:rsid w:val="00D950D0"/>
    <w:rsid w:val="00D96228"/>
    <w:rsid w:val="00D97D6F"/>
    <w:rsid w:val="00DA06E0"/>
    <w:rsid w:val="00DA31CA"/>
    <w:rsid w:val="00DA407F"/>
    <w:rsid w:val="00DA4393"/>
    <w:rsid w:val="00DA46DA"/>
    <w:rsid w:val="00DA57B0"/>
    <w:rsid w:val="00DA60D6"/>
    <w:rsid w:val="00DA7644"/>
    <w:rsid w:val="00DB3A13"/>
    <w:rsid w:val="00DB5106"/>
    <w:rsid w:val="00DB56A5"/>
    <w:rsid w:val="00DC1D1E"/>
    <w:rsid w:val="00DC209C"/>
    <w:rsid w:val="00DC3706"/>
    <w:rsid w:val="00DC6634"/>
    <w:rsid w:val="00DD1BCE"/>
    <w:rsid w:val="00DD31DB"/>
    <w:rsid w:val="00DD4594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5D36"/>
    <w:rsid w:val="00E05FD4"/>
    <w:rsid w:val="00E10BF2"/>
    <w:rsid w:val="00E10F28"/>
    <w:rsid w:val="00E11B73"/>
    <w:rsid w:val="00E13736"/>
    <w:rsid w:val="00E13E00"/>
    <w:rsid w:val="00E14493"/>
    <w:rsid w:val="00E152BB"/>
    <w:rsid w:val="00E15D91"/>
    <w:rsid w:val="00E162BF"/>
    <w:rsid w:val="00E167C5"/>
    <w:rsid w:val="00E2455F"/>
    <w:rsid w:val="00E24ACA"/>
    <w:rsid w:val="00E254A0"/>
    <w:rsid w:val="00E26850"/>
    <w:rsid w:val="00E273B1"/>
    <w:rsid w:val="00E3034B"/>
    <w:rsid w:val="00E304E9"/>
    <w:rsid w:val="00E31BC5"/>
    <w:rsid w:val="00E33ED7"/>
    <w:rsid w:val="00E3663E"/>
    <w:rsid w:val="00E375B1"/>
    <w:rsid w:val="00E52CF6"/>
    <w:rsid w:val="00E53CB6"/>
    <w:rsid w:val="00E561EB"/>
    <w:rsid w:val="00E568D9"/>
    <w:rsid w:val="00E578BC"/>
    <w:rsid w:val="00E60AB7"/>
    <w:rsid w:val="00E6150E"/>
    <w:rsid w:val="00E62E57"/>
    <w:rsid w:val="00E63126"/>
    <w:rsid w:val="00E6450C"/>
    <w:rsid w:val="00E64763"/>
    <w:rsid w:val="00E659A5"/>
    <w:rsid w:val="00E66B38"/>
    <w:rsid w:val="00E706AD"/>
    <w:rsid w:val="00E70E35"/>
    <w:rsid w:val="00E74A82"/>
    <w:rsid w:val="00E75258"/>
    <w:rsid w:val="00E774C9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2D4"/>
    <w:rsid w:val="00E94510"/>
    <w:rsid w:val="00E9488B"/>
    <w:rsid w:val="00E95E35"/>
    <w:rsid w:val="00E9681E"/>
    <w:rsid w:val="00EA0155"/>
    <w:rsid w:val="00EA27CD"/>
    <w:rsid w:val="00EA78C0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32D"/>
    <w:rsid w:val="00EC4416"/>
    <w:rsid w:val="00EC5224"/>
    <w:rsid w:val="00EC6B78"/>
    <w:rsid w:val="00EC7159"/>
    <w:rsid w:val="00ED3EE6"/>
    <w:rsid w:val="00ED4191"/>
    <w:rsid w:val="00ED50DE"/>
    <w:rsid w:val="00ED51A1"/>
    <w:rsid w:val="00ED5BB7"/>
    <w:rsid w:val="00ED6CD3"/>
    <w:rsid w:val="00EE09B3"/>
    <w:rsid w:val="00EE0A00"/>
    <w:rsid w:val="00EE1315"/>
    <w:rsid w:val="00EE371E"/>
    <w:rsid w:val="00EE4BB9"/>
    <w:rsid w:val="00EE6D63"/>
    <w:rsid w:val="00EE78D7"/>
    <w:rsid w:val="00EF02E0"/>
    <w:rsid w:val="00EF6567"/>
    <w:rsid w:val="00EF65CF"/>
    <w:rsid w:val="00EF72BD"/>
    <w:rsid w:val="00F009C1"/>
    <w:rsid w:val="00F01A98"/>
    <w:rsid w:val="00F024CF"/>
    <w:rsid w:val="00F04586"/>
    <w:rsid w:val="00F06310"/>
    <w:rsid w:val="00F10D23"/>
    <w:rsid w:val="00F123D8"/>
    <w:rsid w:val="00F13FC4"/>
    <w:rsid w:val="00F15930"/>
    <w:rsid w:val="00F16269"/>
    <w:rsid w:val="00F175A5"/>
    <w:rsid w:val="00F202BA"/>
    <w:rsid w:val="00F22339"/>
    <w:rsid w:val="00F23604"/>
    <w:rsid w:val="00F3144A"/>
    <w:rsid w:val="00F3248F"/>
    <w:rsid w:val="00F34249"/>
    <w:rsid w:val="00F34751"/>
    <w:rsid w:val="00F354B7"/>
    <w:rsid w:val="00F359B8"/>
    <w:rsid w:val="00F3647F"/>
    <w:rsid w:val="00F372F0"/>
    <w:rsid w:val="00F40F44"/>
    <w:rsid w:val="00F4209E"/>
    <w:rsid w:val="00F4233A"/>
    <w:rsid w:val="00F47F00"/>
    <w:rsid w:val="00F50391"/>
    <w:rsid w:val="00F518FE"/>
    <w:rsid w:val="00F51B8E"/>
    <w:rsid w:val="00F5244F"/>
    <w:rsid w:val="00F55061"/>
    <w:rsid w:val="00F5613D"/>
    <w:rsid w:val="00F618FF"/>
    <w:rsid w:val="00F64041"/>
    <w:rsid w:val="00F67D3D"/>
    <w:rsid w:val="00F714B7"/>
    <w:rsid w:val="00F72539"/>
    <w:rsid w:val="00F740CB"/>
    <w:rsid w:val="00F752AD"/>
    <w:rsid w:val="00F76C11"/>
    <w:rsid w:val="00F77600"/>
    <w:rsid w:val="00F80D74"/>
    <w:rsid w:val="00F874B5"/>
    <w:rsid w:val="00F908A0"/>
    <w:rsid w:val="00F921F1"/>
    <w:rsid w:val="00F92E07"/>
    <w:rsid w:val="00F93EDB"/>
    <w:rsid w:val="00F944CF"/>
    <w:rsid w:val="00F94A75"/>
    <w:rsid w:val="00F955ED"/>
    <w:rsid w:val="00FA1233"/>
    <w:rsid w:val="00FA1CCE"/>
    <w:rsid w:val="00FA2718"/>
    <w:rsid w:val="00FA4693"/>
    <w:rsid w:val="00FA4930"/>
    <w:rsid w:val="00FA5213"/>
    <w:rsid w:val="00FA5AE9"/>
    <w:rsid w:val="00FB1B51"/>
    <w:rsid w:val="00FB4C16"/>
    <w:rsid w:val="00FB4D07"/>
    <w:rsid w:val="00FB4F8A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C6E11"/>
    <w:rsid w:val="00FD0130"/>
    <w:rsid w:val="00FD0E37"/>
    <w:rsid w:val="00FD34DE"/>
    <w:rsid w:val="00FD388F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B5032AE7-04FB-4817-92C1-85E2C8B2C4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1F4093-7F7D-4DA4-A3CE-C6A99AAF4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AB3529-7792-4448-8EBA-75ED23E07263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3736</TotalTime>
  <Pages>16</Pages>
  <Words>1474</Words>
  <Characters>8848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ANALYTICS SKILLS FOR THE FUTURE-PROOFS SUPPLY CHAINS</vt:lpstr>
      <vt:lpstr>BUSINESS ANALYTICS SKILLS FOR THE FUTURE-PROOFS SUPPLY CHAINS</vt:lpstr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</dc:title>
  <dc:subject/>
  <dc:creator>Materiały ćwiczeniowe</dc:creator>
  <cp:keywords/>
  <dc:description/>
  <cp:lastModifiedBy>Piotr</cp:lastModifiedBy>
  <cp:revision>1473</cp:revision>
  <cp:lastPrinted>2024-04-22T12:35:00Z</cp:lastPrinted>
  <dcterms:created xsi:type="dcterms:W3CDTF">2024-01-07T20:59:00Z</dcterms:created>
  <dcterms:modified xsi:type="dcterms:W3CDTF">2025-10-16T07:12:00Z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