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38032731"/>
        <w:docPartObj>
          <w:docPartGallery w:val="Cover Pages"/>
          <w:docPartUnique/>
        </w:docPartObj>
      </w:sdtPr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3947"/>
                                </w:tblGrid>
                                <w:tr w:rsidR="00B82CDB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4C93BC9F" w14:textId="76E16D61" w:rsidR="00B82CDB" w:rsidRPr="00B82CDB" w:rsidRDefault="00F50E0F" w:rsidP="00B82CDB">
                                          <w:pPr>
                                            <w:pStyle w:val="NoSpacing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</w:rPr>
                                            <w:t>Business Analytics Skills for the Future-proof Supply Chains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Default="00FB442A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5989A653" w14:textId="07C15448" w:rsidR="00FB442A" w:rsidRDefault="00F50E0F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STUDIJA SLUČAJA</w:t>
                                      </w:r>
                                    </w:p>
                                    <w:p w14:paraId="7E381625" w14:textId="77777777" w:rsidR="00FB442A" w:rsidRDefault="00FB442A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1839C23F" w:rsidR="00B82CDB" w:rsidRDefault="00F50E0F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DUBOKO UČENJE</w:t>
                                      </w:r>
                                    </w:p>
                                    <w:p w14:paraId="791DF142" w14:textId="77777777" w:rsidR="00B82CDB" w:rsidRPr="00B82CDB" w:rsidRDefault="00B82CDB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17DA33FD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A44481D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CC00CD1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36A2BC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200A009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3550BC0" w14:textId="77777777" w:rsidR="00B82CDB" w:rsidRP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78203E42" w14:textId="33BB225E" w:rsidR="00B82CDB" w:rsidRDefault="00F50E0F">
                                          <w:pPr>
                                            <w:pStyle w:val="NoSpacing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Autori</w:t>
                                          </w:r>
                                          <w:r w:rsidR="00B82CDB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:</w:t>
                                          </w:r>
                                        </w:p>
                                      </w:sdtContent>
                                    </w:sdt>
                                    <w:p w14:paraId="72A654AA" w14:textId="36327ED8" w:rsidR="00B82CDB" w:rsidRDefault="00663942">
                                      <w:pPr>
                                        <w:pStyle w:val="NoSpacing"/>
                                        <w:rPr>
                                          <w:color w:val="44546A" w:themeColor="text2"/>
                                        </w:rPr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Dejan Mircetic</w:t>
                                      </w:r>
                                    </w:p>
                                    <w:p w14:paraId="08017160" w14:textId="5D8BB446" w:rsidR="00B82CDB" w:rsidRDefault="00663942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Marinko Maslaric</w:t>
                                      </w:r>
                                    </w:p>
                                  </w:tc>
                                </w:tr>
                              </w:tbl>
                              <w:p w14:paraId="2311765E" w14:textId="77777777" w:rsidR="00B82CDB" w:rsidRDefault="00B82C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3947"/>
                          </w:tblGrid>
                          <w:tr w:rsidR="00B82CDB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4C93BC9F" w14:textId="76E16D61" w:rsidR="00B82CDB" w:rsidRPr="00B82CDB" w:rsidRDefault="00F50E0F" w:rsidP="00B82CDB">
                                    <w:pPr>
                                      <w:pStyle w:val="NoSpacing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</w:rPr>
                                      <w:t>Business Analytics Skills for the Future-proof Supply Chains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Default="00FB442A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5989A653" w14:textId="07C15448" w:rsidR="00FB442A" w:rsidRDefault="00F50E0F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STUDIJA SLUČAJA</w:t>
                                </w:r>
                              </w:p>
                              <w:p w14:paraId="7E381625" w14:textId="77777777" w:rsidR="00FB442A" w:rsidRDefault="00FB442A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1839C23F" w:rsidR="00B82CDB" w:rsidRDefault="00F50E0F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DUBOKO UČENJE</w:t>
                                </w:r>
                              </w:p>
                              <w:p w14:paraId="791DF142" w14:textId="77777777" w:rsidR="00B82CDB" w:rsidRPr="00B82CDB" w:rsidRDefault="00B82CDB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7DA33FD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A44481D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CC00CD1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36A2BC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00A009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3550BC0" w14:textId="77777777" w:rsidR="00B82CDB" w:rsidRP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8203E42" w14:textId="33BB225E" w:rsidR="00B82CDB" w:rsidRDefault="00F50E0F">
                                    <w:pPr>
                                      <w:pStyle w:val="NoSpacing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Autori</w:t>
                                    </w:r>
                                    <w:r w:rsidR="00B82CDB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:</w:t>
                                    </w:r>
                                  </w:p>
                                </w:sdtContent>
                              </w:sdt>
                              <w:p w14:paraId="72A654AA" w14:textId="36327ED8" w:rsidR="00B82CDB" w:rsidRDefault="00663942">
                                <w:pPr>
                                  <w:pStyle w:val="NoSpacing"/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Dejan Mircetic</w:t>
                                </w:r>
                              </w:p>
                              <w:p w14:paraId="08017160" w14:textId="5D8BB446" w:rsidR="00B82CDB" w:rsidRDefault="00663942">
                                <w:pPr>
                                  <w:pStyle w:val="NoSpacing"/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Marinko Maslaric</w:t>
                                </w:r>
                              </w:p>
                            </w:tc>
                          </w:tr>
                        </w:tbl>
                        <w:p w14:paraId="2311765E" w14:textId="77777777" w:rsidR="00B82CDB" w:rsidRDefault="00B82C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26155229" w:rsidR="009D0FCA" w:rsidRPr="00E6027F" w:rsidRDefault="00F50E0F" w:rsidP="00663942">
          <w:pPr>
            <w:pStyle w:val="TOCHeading"/>
          </w:pPr>
          <w:r>
            <w:t>Sadržaj</w:t>
          </w:r>
        </w:p>
        <w:p w14:paraId="020A2BE0" w14:textId="13035F5E" w:rsidR="00F50E0F" w:rsidRDefault="009D0FC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171056" w:history="1">
            <w:r w:rsidR="00F50E0F" w:rsidRPr="003D5240">
              <w:rPr>
                <w:rStyle w:val="Hyperlink"/>
                <w:noProof/>
              </w:rPr>
              <w:t>DUBOKO UČENJE</w:t>
            </w:r>
            <w:r w:rsidR="00F50E0F">
              <w:rPr>
                <w:noProof/>
                <w:webHidden/>
              </w:rPr>
              <w:tab/>
            </w:r>
            <w:r w:rsidR="00F50E0F">
              <w:rPr>
                <w:noProof/>
                <w:webHidden/>
              </w:rPr>
              <w:fldChar w:fldCharType="begin"/>
            </w:r>
            <w:r w:rsidR="00F50E0F">
              <w:rPr>
                <w:noProof/>
                <w:webHidden/>
              </w:rPr>
              <w:instrText xml:space="preserve"> PAGEREF _Toc195171056 \h </w:instrText>
            </w:r>
            <w:r w:rsidR="00F50E0F">
              <w:rPr>
                <w:noProof/>
                <w:webHidden/>
              </w:rPr>
            </w:r>
            <w:r w:rsidR="00F50E0F">
              <w:rPr>
                <w:noProof/>
                <w:webHidden/>
              </w:rPr>
              <w:fldChar w:fldCharType="separate"/>
            </w:r>
            <w:r w:rsidR="00F50E0F">
              <w:rPr>
                <w:noProof/>
                <w:webHidden/>
              </w:rPr>
              <w:t>2</w:t>
            </w:r>
            <w:r w:rsidR="00F50E0F">
              <w:rPr>
                <w:noProof/>
                <w:webHidden/>
              </w:rPr>
              <w:fldChar w:fldCharType="end"/>
            </w:r>
          </w:hyperlink>
        </w:p>
        <w:p w14:paraId="5B41DEDE" w14:textId="533989B7" w:rsidR="00F50E0F" w:rsidRDefault="00F50E0F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US"/>
            </w:rPr>
          </w:pPr>
          <w:hyperlink w:anchor="_Toc195171057" w:history="1">
            <w:r w:rsidRPr="003D5240">
              <w:rPr>
                <w:rStyle w:val="Hyperlink"/>
                <w:noProof/>
              </w:rPr>
              <w:t>ZADATAK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090FCC79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5A01801A" w14:textId="462B6F44" w:rsidR="00D67BAC" w:rsidRPr="00663942" w:rsidRDefault="00F50E0F" w:rsidP="00663942">
      <w:pPr>
        <w:pStyle w:val="Heading1"/>
      </w:pPr>
      <w:bookmarkStart w:id="0" w:name="_Toc195171056"/>
      <w:r>
        <w:lastRenderedPageBreak/>
        <w:t>DUBOKO UČENJE</w:t>
      </w:r>
      <w:bookmarkEnd w:id="0"/>
    </w:p>
    <w:p w14:paraId="738169A0" w14:textId="77777777" w:rsidR="00F50E0F" w:rsidRPr="00F50E0F" w:rsidRDefault="00F50E0F" w:rsidP="00F50E0F">
      <w:pPr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Studija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slučaja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: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Klasifikacija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znamenki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s MNIST-om</w:t>
      </w:r>
    </w:p>
    <w:p w14:paraId="46BE058D" w14:textId="77777777" w:rsidR="00F50E0F" w:rsidRPr="00F50E0F" w:rsidRDefault="00F50E0F" w:rsidP="00F50E0F">
      <w:pPr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ovoj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studiji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slučaja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fokusiramo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problem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pomoću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MNIST,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često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korištene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referentne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vrijednosti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strojnom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posebno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područjima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logistika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gdje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automatsko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prepoznavanje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poštanskih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brojeva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ključno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učinkovite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isporuke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2E7D7C1" w14:textId="77777777" w:rsidR="00F50E0F" w:rsidRPr="00F50E0F" w:rsidRDefault="00F50E0F" w:rsidP="00F50E0F">
      <w:pPr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je MNIST?</w:t>
      </w:r>
    </w:p>
    <w:p w14:paraId="134CBF50" w14:textId="77777777" w:rsidR="00F50E0F" w:rsidRPr="00F50E0F" w:rsidRDefault="00F50E0F" w:rsidP="00F50E0F">
      <w:pPr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>MNIST (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Modificirani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nacionalni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institut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standarde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tehnologiju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)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sastoji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se od 70 000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pisanih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svaka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označena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odgovarajućom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(0-9).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podijeljen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60 000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10 000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testiranje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Svaka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28 x 28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piksela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predstavlja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malu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sivim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tonovima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centriranu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napisanu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Cilj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osposobiti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model koji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prepoznati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ispravno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klasificirati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2541C63" w14:textId="77777777" w:rsidR="00F50E0F" w:rsidRPr="00F50E0F" w:rsidRDefault="00F50E0F" w:rsidP="00F50E0F">
      <w:pPr>
        <w:rPr>
          <w:rFonts w:eastAsia="Times New Roman" w:cs="Tahoma"/>
          <w:b/>
          <w:bCs/>
          <w:kern w:val="0"/>
          <w:lang w:val="en-US"/>
          <w14:ligatures w14:val="none"/>
        </w:rPr>
      </w:pPr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Problem</w:t>
      </w:r>
    </w:p>
    <w:p w14:paraId="6FD1AE8B" w14:textId="77777777" w:rsidR="00F50E0F" w:rsidRPr="00F50E0F" w:rsidRDefault="00F50E0F" w:rsidP="00F50E0F">
      <w:pPr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Problem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ruci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dana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napisane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moramo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predvidjeti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(od 0 do 9)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predstavlja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kontekstu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logističkih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sustava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čitanje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poštanskih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brojeva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ovaj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zadatak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bitan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automatizaciju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procesa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sortiranja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dostave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5A220D9F" w14:textId="77777777" w:rsidR="00F50E0F" w:rsidRPr="00F50E0F" w:rsidRDefault="00F50E0F" w:rsidP="00F50E0F">
      <w:pPr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Dok se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MNIST-a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prvi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pogled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činiti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jednostavnim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on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predstavlja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različite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izazove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:</w:t>
      </w:r>
    </w:p>
    <w:p w14:paraId="677178BB" w14:textId="1FF77FC1" w:rsidR="00F50E0F" w:rsidRPr="00F50E0F" w:rsidRDefault="00F50E0F" w:rsidP="00F50E0F">
      <w:pPr>
        <w:pStyle w:val="ListParagraph"/>
        <w:numPr>
          <w:ilvl w:val="0"/>
          <w:numId w:val="9"/>
        </w:numPr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Varijacije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stilovima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rukopisa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Različiti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ljudi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pišu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različite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načine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otežati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prepoznavanje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7319453" w14:textId="207387D9" w:rsidR="00F50E0F" w:rsidRPr="00F50E0F" w:rsidRDefault="00F50E0F" w:rsidP="00F50E0F">
      <w:pPr>
        <w:pStyle w:val="ListParagraph"/>
        <w:numPr>
          <w:ilvl w:val="0"/>
          <w:numId w:val="9"/>
        </w:numPr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Šum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izobličenja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ispisane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mogu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imati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varijacije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poput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šuma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nagiba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ili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drugih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izobličenja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mogu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utjecati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točnost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C54C42C" w14:textId="2FF2B65D" w:rsidR="00F50E0F" w:rsidRPr="00F50E0F" w:rsidRDefault="00F50E0F" w:rsidP="00F50E0F">
      <w:pPr>
        <w:pStyle w:val="ListParagraph"/>
        <w:numPr>
          <w:ilvl w:val="0"/>
          <w:numId w:val="9"/>
        </w:numPr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Generalizacija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model se mora dobro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generalizirati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nevidljive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koji se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procjenjuju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testnom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6722939C" w14:textId="77777777" w:rsidR="00663942" w:rsidRPr="00663942" w:rsidRDefault="00663942" w:rsidP="00663942"/>
    <w:p w14:paraId="5958D612" w14:textId="77777777" w:rsidR="00663942" w:rsidRPr="00663942" w:rsidRDefault="00663942" w:rsidP="00663942"/>
    <w:p w14:paraId="03A95038" w14:textId="0D7CA4F4" w:rsidR="00663942" w:rsidRDefault="00F50E0F" w:rsidP="00663942">
      <w:pPr>
        <w:pStyle w:val="Heading1"/>
      </w:pPr>
      <w:bookmarkStart w:id="1" w:name="_Toc195171057"/>
      <w:r>
        <w:lastRenderedPageBreak/>
        <w:t>ZADATAK</w:t>
      </w:r>
      <w:bookmarkEnd w:id="1"/>
    </w:p>
    <w:p w14:paraId="2ED9E068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Paketi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korištenje</w:t>
      </w:r>
      <w:proofErr w:type="spellEnd"/>
    </w:p>
    <w:p w14:paraId="7782C1AE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Da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bismo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riješili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ovaj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problem,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koristit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ćemo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sljedeće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pakete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ključeva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R-u:</w:t>
      </w:r>
    </w:p>
    <w:p w14:paraId="6E4D307C" w14:textId="4B92D3A3" w:rsidR="00F50E0F" w:rsidRPr="00F50E0F" w:rsidRDefault="00F50E0F" w:rsidP="00F50E0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API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neuronske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visoke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razine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koji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radi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povrh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TensorFlowa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Pruža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jednostavne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jednostavne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metode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izgradnju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dubokog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224A040D" w14:textId="4893CEBF" w:rsidR="00F50E0F" w:rsidRPr="00F50E0F" w:rsidRDefault="00F50E0F" w:rsidP="00F50E0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tensorflow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temeljna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pozadina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pruža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moćne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alate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računanje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C8A3C12" w14:textId="2E7221F6" w:rsidR="00F50E0F" w:rsidRPr="00F50E0F" w:rsidRDefault="00F50E0F" w:rsidP="00F50E0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reticulate: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paket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koji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omogućuje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jednostavnu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integraciju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između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R-a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Pythona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neophodan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učinkovito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korištenje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TensorFlow-a.</w:t>
      </w:r>
    </w:p>
    <w:p w14:paraId="2E2F2DBF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Ovi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paketi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omogućuju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učinkovitu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implementaciju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dubokog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neuronske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unaprijednim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praćenjem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(DNN)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konvolucijske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neuronske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(CNN)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62FABC7F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Procedura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koju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treba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slijediti</w:t>
      </w:r>
      <w:proofErr w:type="spellEnd"/>
    </w:p>
    <w:p w14:paraId="481E323F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rješavanje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problema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MNIST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opći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postupak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sljedeći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:</w:t>
      </w:r>
    </w:p>
    <w:p w14:paraId="497A7A1F" w14:textId="52956FE9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Učitajte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i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pretprocesirajte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podatke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:</w:t>
      </w:r>
    </w:p>
    <w:p w14:paraId="7AABCBED" w14:textId="72D42E44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Učitajte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MNIST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pomoću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funkcije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dataset_</w:t>
      </w:r>
      <w:proofErr w:type="gramStart"/>
      <w:r w:rsidRPr="00F50E0F">
        <w:rPr>
          <w:rFonts w:eastAsia="Times New Roman" w:cs="Tahoma"/>
          <w:kern w:val="0"/>
          <w:lang w:val="en-US"/>
          <w14:ligatures w14:val="none"/>
        </w:rPr>
        <w:t>mnist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(</w:t>
      </w:r>
      <w:proofErr w:type="gramEnd"/>
      <w:r w:rsidRPr="00F50E0F">
        <w:rPr>
          <w:rFonts w:eastAsia="Times New Roman" w:cs="Tahoma"/>
          <w:kern w:val="0"/>
          <w:lang w:val="en-US"/>
          <w14:ligatures w14:val="none"/>
        </w:rPr>
        <w:t xml:space="preserve">)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2BBB4D0B" w14:textId="3D8D3229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Preoblikujte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vektore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(784-dimenzionalne)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budući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da model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očekuje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ravan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unos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4B8761E8" w14:textId="7DC9AA3E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Normalizirajte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vrijednosti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piksela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raspon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između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0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1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bolje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performanse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23C3E2FD" w14:textId="7E1507A4" w:rsid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One-hot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kodiranje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oznaka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bi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odgovarale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izlaznom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formatu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3DD1A435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2CE7D85B" w14:textId="72307E4B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Definirajte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5563E9BB" w14:textId="2BE95486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Izgradite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duboku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neuronsku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koristeći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Kerasovu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funkciju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keras_model_</w:t>
      </w:r>
      <w:proofErr w:type="gramStart"/>
      <w:r w:rsidRPr="00F50E0F">
        <w:rPr>
          <w:rFonts w:eastAsia="Times New Roman" w:cs="Tahoma"/>
          <w:kern w:val="0"/>
          <w:lang w:val="en-US"/>
          <w14:ligatures w14:val="none"/>
        </w:rPr>
        <w:t>sequential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(</w:t>
      </w:r>
      <w:proofErr w:type="gramEnd"/>
      <w:r w:rsidRPr="00F50E0F">
        <w:rPr>
          <w:rFonts w:eastAsia="Times New Roman" w:cs="Tahoma"/>
          <w:kern w:val="0"/>
          <w:lang w:val="en-US"/>
          <w14:ligatures w14:val="none"/>
        </w:rPr>
        <w:t>).</w:t>
      </w:r>
    </w:p>
    <w:p w14:paraId="750AA07E" w14:textId="3C7D25DF" w:rsid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Dodajte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guste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slojeve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ReLU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aktivacijom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skrivene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slojeve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softmax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aktivacijom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izlazni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sloj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prikladno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višeklasnu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4806C3A3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33BC01C1" w14:textId="16622181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Sastavite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4E9C05E1" w14:textId="0B983286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funkciju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gubitka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categorical_crossentropy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standardna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probleme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više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529A6E7D" w14:textId="1536376C" w:rsid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Odaberite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optimizator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npr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RMSprop)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ažuriranje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težine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tijekom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treninga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1F76ACB4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098DA4E1" w14:textId="6C163525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>
        <w:rPr>
          <w:rFonts w:eastAsia="Times New Roman" w:cs="Tahoma"/>
          <w:b/>
          <w:bCs/>
          <w:kern w:val="0"/>
          <w:lang w:val="en-US"/>
          <w14:ligatures w14:val="none"/>
        </w:rPr>
        <w:t>Istrenirajte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19FAFBB2" w14:textId="7E9D1581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lastRenderedPageBreak/>
        <w:t>Obučite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model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pomoću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obično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koristeći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80%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20%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provjeru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valjanosti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4C9698BB" w14:textId="7584D658" w:rsid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Pratite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metrike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izvedbe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točnost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biste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procijenili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koliko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dobro model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3BC25BCF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486E1932" w14:textId="45818DB0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Ocijenite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42C97625" w14:textId="3C8A628F" w:rsid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Nakon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procijenite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izvedbu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testnom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biste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utvrdili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koliko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se dobro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generalizira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nove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neviđene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BE5AF12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45C64142" w14:textId="0754AA28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Vizualizirajte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i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protumačite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rezultate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:</w:t>
      </w:r>
    </w:p>
    <w:p w14:paraId="61C25651" w14:textId="2919B019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Vizualizirajte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gubitak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točnost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validacije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tijekom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epoha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77765D5B" w14:textId="01842BD5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uvježbani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model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predviđanje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novih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analizu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rezultata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5FCE677A" w14:textId="77777777" w:rsid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</w:p>
    <w:p w14:paraId="2146FCCA" w14:textId="63B632F9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Problem MNIST,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iako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standardno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mjerilo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strojnom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još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uvijek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nudi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dragocjene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uvide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treniranje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dubokog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Proces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uključuje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ključne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zadatke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prethodna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obrada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izgradnja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evaluacija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interpretacija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ključne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vještine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svakoga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radi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strojnim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učenjem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logistici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ili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drugim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aplikacijama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stvarnog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svijeta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243F4974" w14:textId="77777777" w:rsidR="00663942" w:rsidRPr="009D0FCA" w:rsidRDefault="00663942" w:rsidP="00663942"/>
    <w:p w14:paraId="6D192258" w14:textId="77777777" w:rsidR="002C237D" w:rsidRDefault="002C237D" w:rsidP="00E6027F">
      <w:pPr>
        <w:pStyle w:val="Heading2"/>
        <w:rPr>
          <w:sz w:val="44"/>
          <w:szCs w:val="32"/>
        </w:rPr>
      </w:pPr>
    </w:p>
    <w:p w14:paraId="3004F94C" w14:textId="77777777" w:rsidR="00822A78" w:rsidRDefault="00822A78" w:rsidP="00822A78"/>
    <w:p w14:paraId="4006117B" w14:textId="77777777" w:rsidR="009D0FCA" w:rsidRDefault="009D0FCA"/>
    <w:p w14:paraId="08254B5D" w14:textId="5C485FAB" w:rsidR="00AD51E7" w:rsidRDefault="00AD51E7">
      <w:pPr>
        <w:spacing w:after="160" w:line="259" w:lineRule="auto"/>
        <w:jc w:val="left"/>
      </w:pPr>
      <w:r>
        <w:br w:type="page"/>
      </w:r>
    </w:p>
    <w:p w14:paraId="5F8B10E4" w14:textId="1669FCE7" w:rsidR="009D0FCA" w:rsidRDefault="00AD51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42AD2210" w14:textId="23450B48" w:rsidR="00AD51E7" w:rsidRPr="00AD51E7" w:rsidRDefault="00FE5D01" w:rsidP="00AD51E7">
                                <w:pPr>
                                  <w:pStyle w:val="NoSpacing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Business Analytics Skills for the Future-proof Supply Chains</w:t>
                                </w:r>
                              </w:p>
                            </w:sdtContent>
                          </w:sdt>
                          <w:p w14:paraId="520D2776" w14:textId="77777777" w:rsidR="00AD51E7" w:rsidRDefault="00AD51E7" w:rsidP="00AD5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42AD2210" w14:textId="23450B48" w:rsidR="00AD51E7" w:rsidRPr="00AD51E7" w:rsidRDefault="00FE5D01" w:rsidP="00AD51E7">
                          <w:pPr>
                            <w:pStyle w:val="NoSpacing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Business Analytics Skills for the Future-proof Supply Chains</w:t>
                          </w:r>
                        </w:p>
                      </w:sdtContent>
                    </w:sdt>
                    <w:p w14:paraId="520D2776" w14:textId="77777777" w:rsidR="00AD51E7" w:rsidRDefault="00AD51E7" w:rsidP="00AD5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Default="009D0FCA"/>
    <w:p w14:paraId="02AE0FF7" w14:textId="77777777" w:rsidR="009D0FCA" w:rsidRDefault="009D0FCA"/>
    <w:p w14:paraId="28253AC9" w14:textId="77777777" w:rsidR="009D0FCA" w:rsidRDefault="009D0FCA"/>
    <w:p w14:paraId="202AFCAB" w14:textId="77777777" w:rsidR="009D0FCA" w:rsidRDefault="009D0FCA"/>
    <w:sectPr w:rsidR="009D0FCA" w:rsidSect="00AD51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B57A" w14:textId="77777777" w:rsidR="00596193" w:rsidRDefault="00596193" w:rsidP="009D0FCA">
      <w:pPr>
        <w:spacing w:after="0" w:line="240" w:lineRule="auto"/>
      </w:pPr>
      <w:r>
        <w:separator/>
      </w:r>
    </w:p>
  </w:endnote>
  <w:endnote w:type="continuationSeparator" w:id="0">
    <w:p w14:paraId="583902B8" w14:textId="77777777" w:rsidR="00596193" w:rsidRDefault="00596193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3"/>
      <w:gridCol w:w="4519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Header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vAlign w:val="center"/>
        </w:tcPr>
        <w:p w14:paraId="098DB583" w14:textId="74A40926" w:rsidR="009D0FCA" w:rsidRPr="009D0FCA" w:rsidRDefault="00FE5D01">
          <w:pPr>
            <w:pStyle w:val="Footer"/>
            <w:rPr>
              <w:rFonts w:cs="Tahoma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cs="Tahoma"/>
              <w:caps/>
              <w:color w:val="F46C34"/>
              <w:sz w:val="18"/>
              <w:szCs w:val="18"/>
            </w:rPr>
            <w:t>Duboko učenje – studija slučaja</w:t>
          </w:r>
        </w:p>
      </w:tc>
      <w:tc>
        <w:tcPr>
          <w:tcW w:w="4674" w:type="dxa"/>
          <w:vAlign w:val="center"/>
        </w:tcPr>
        <w:p w14:paraId="1C7921AF" w14:textId="77777777" w:rsidR="009D0FCA" w:rsidRDefault="009D0FC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77777777" w:rsidR="009D0FCA" w:rsidRDefault="009D0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85D2" w14:textId="7553B5B4" w:rsidR="009D0FCA" w:rsidRPr="009D0FCA" w:rsidRDefault="009D0FCA" w:rsidP="009D0FCA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Footer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9D0FCA">
            <w:rPr>
              <w:rFonts w:cs="Tahoma"/>
              <w:sz w:val="16"/>
              <w:szCs w:val="16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Default="009D0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2C41" w14:textId="77777777" w:rsidR="00596193" w:rsidRDefault="00596193" w:rsidP="009D0FCA">
      <w:pPr>
        <w:spacing w:after="0" w:line="240" w:lineRule="auto"/>
      </w:pPr>
      <w:r>
        <w:separator/>
      </w:r>
    </w:p>
  </w:footnote>
  <w:footnote w:type="continuationSeparator" w:id="0">
    <w:p w14:paraId="314CB28E" w14:textId="77777777" w:rsidR="00596193" w:rsidRDefault="00596193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5ED" w14:textId="4C8A4CBD" w:rsidR="009D0FCA" w:rsidRDefault="009D0FCA">
    <w:pPr>
      <w:pStyle w:val="Header"/>
      <w:rPr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Head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7555C7DD" w:rsidR="009D0FCA" w:rsidRPr="009D0FCA" w:rsidRDefault="009D0FCA" w:rsidP="009D0FCA">
          <w:pPr>
            <w:pStyle w:val="Header"/>
            <w:jc w:val="left"/>
            <w:rPr>
              <w:b/>
              <w:bCs/>
              <w:color w:val="1065AB"/>
              <w:sz w:val="18"/>
              <w:szCs w:val="18"/>
            </w:rPr>
          </w:pPr>
          <w:r w:rsidRPr="009D0FCA">
            <w:rPr>
              <w:b/>
              <w:bCs/>
              <w:color w:val="1065AB"/>
              <w:sz w:val="18"/>
              <w:szCs w:val="18"/>
            </w:rPr>
            <w:t>BAS4SC</w:t>
          </w:r>
          <w:r>
            <w:t xml:space="preserve"> </w:t>
          </w:r>
          <w:r w:rsidR="00B82CDB">
            <w:t xml:space="preserve">- </w:t>
          </w:r>
          <w:r w:rsidRPr="009D0FCA">
            <w:rPr>
              <w:b/>
              <w:bCs/>
              <w:color w:val="1065AB"/>
              <w:sz w:val="18"/>
              <w:szCs w:val="18"/>
            </w:rPr>
            <w:t>Business Analytics</w:t>
          </w:r>
          <w:r>
            <w:rPr>
              <w:b/>
              <w:bCs/>
              <w:color w:val="1065AB"/>
              <w:sz w:val="18"/>
              <w:szCs w:val="18"/>
            </w:rPr>
            <w:t xml:space="preserve"> </w:t>
          </w:r>
          <w:r w:rsidRPr="009D0FCA">
            <w:rPr>
              <w:b/>
              <w:bCs/>
              <w:color w:val="1065AB"/>
              <w:sz w:val="18"/>
              <w:szCs w:val="18"/>
            </w:rPr>
            <w:t xml:space="preserve">Skills </w:t>
          </w:r>
          <w:r>
            <w:rPr>
              <w:b/>
              <w:bCs/>
              <w:color w:val="1065AB"/>
              <w:sz w:val="18"/>
              <w:szCs w:val="18"/>
            </w:rPr>
            <w:t xml:space="preserve"> </w:t>
          </w:r>
          <w:r w:rsidRPr="009D0FCA">
            <w:rPr>
              <w:b/>
              <w:bCs/>
              <w:color w:val="1065AB"/>
              <w:sz w:val="18"/>
              <w:szCs w:val="18"/>
            </w:rPr>
            <w:t>for the Future-proof Supply Chains</w:t>
          </w:r>
        </w:p>
      </w:tc>
      <w:tc>
        <w:tcPr>
          <w:tcW w:w="273" w:type="dxa"/>
          <w:vAlign w:val="center"/>
        </w:tcPr>
        <w:p w14:paraId="086A08EC" w14:textId="2DF7E516" w:rsidR="009D0FCA" w:rsidRDefault="009D0FCA" w:rsidP="009D0FCA">
          <w:pPr>
            <w:pStyle w:val="Header"/>
            <w:jc w:val="left"/>
            <w:rPr>
              <w:sz w:val="18"/>
              <w:szCs w:val="18"/>
            </w:rPr>
          </w:pPr>
        </w:p>
      </w:tc>
    </w:tr>
  </w:tbl>
  <w:p w14:paraId="1D790340" w14:textId="285C50F3" w:rsidR="009D0FCA" w:rsidRPr="009D0FCA" w:rsidRDefault="009D0FCA">
    <w:pPr>
      <w:pStyle w:val="Header"/>
      <w:rPr>
        <w:sz w:val="18"/>
        <w:szCs w:val="18"/>
      </w:rPr>
    </w:pP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652F" w14:textId="6774B93C" w:rsidR="00AD51E7" w:rsidRDefault="00AD51E7" w:rsidP="00AD51E7">
    <w:pPr>
      <w:pStyle w:val="Header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EA6"/>
    <w:multiLevelType w:val="multilevel"/>
    <w:tmpl w:val="1980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1F3F"/>
    <w:multiLevelType w:val="hybridMultilevel"/>
    <w:tmpl w:val="C9207FB2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5B62"/>
    <w:multiLevelType w:val="hybridMultilevel"/>
    <w:tmpl w:val="22FCA812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2766"/>
    <w:multiLevelType w:val="multilevel"/>
    <w:tmpl w:val="505C6F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40284F"/>
    <w:multiLevelType w:val="hybridMultilevel"/>
    <w:tmpl w:val="3E8C1128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B1833"/>
    <w:multiLevelType w:val="multilevel"/>
    <w:tmpl w:val="064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23404"/>
    <w:multiLevelType w:val="hybridMultilevel"/>
    <w:tmpl w:val="C5D4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D393E"/>
    <w:multiLevelType w:val="hybridMultilevel"/>
    <w:tmpl w:val="73C6D24E"/>
    <w:lvl w:ilvl="0" w:tplc="67160C8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448CE"/>
    <w:multiLevelType w:val="hybridMultilevel"/>
    <w:tmpl w:val="F69E98C6"/>
    <w:lvl w:ilvl="0" w:tplc="67160C8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301F7"/>
    <w:multiLevelType w:val="hybridMultilevel"/>
    <w:tmpl w:val="125807C6"/>
    <w:lvl w:ilvl="0" w:tplc="67160C8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94783"/>
    <w:multiLevelType w:val="hybridMultilevel"/>
    <w:tmpl w:val="3B84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1565C"/>
    <w:multiLevelType w:val="hybridMultilevel"/>
    <w:tmpl w:val="AF0AA01A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695C91"/>
    <w:multiLevelType w:val="hybridMultilevel"/>
    <w:tmpl w:val="0584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3104A"/>
    <w:multiLevelType w:val="multilevel"/>
    <w:tmpl w:val="371E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E6036"/>
    <w:multiLevelType w:val="hybridMultilevel"/>
    <w:tmpl w:val="648CE06C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090125">
    <w:abstractNumId w:val="4"/>
  </w:num>
  <w:num w:numId="2" w16cid:durableId="627663262">
    <w:abstractNumId w:val="3"/>
  </w:num>
  <w:num w:numId="3" w16cid:durableId="2144154472">
    <w:abstractNumId w:val="14"/>
  </w:num>
  <w:num w:numId="4" w16cid:durableId="131214633">
    <w:abstractNumId w:val="5"/>
  </w:num>
  <w:num w:numId="5" w16cid:durableId="1533374454">
    <w:abstractNumId w:val="16"/>
  </w:num>
  <w:num w:numId="6" w16cid:durableId="380520541">
    <w:abstractNumId w:val="7"/>
  </w:num>
  <w:num w:numId="7" w16cid:durableId="1797681076">
    <w:abstractNumId w:val="0"/>
  </w:num>
  <w:num w:numId="8" w16cid:durableId="772481101">
    <w:abstractNumId w:val="15"/>
  </w:num>
  <w:num w:numId="9" w16cid:durableId="392121316">
    <w:abstractNumId w:val="10"/>
  </w:num>
  <w:num w:numId="10" w16cid:durableId="346904019">
    <w:abstractNumId w:val="9"/>
  </w:num>
  <w:num w:numId="11" w16cid:durableId="1309750160">
    <w:abstractNumId w:val="12"/>
  </w:num>
  <w:num w:numId="12" w16cid:durableId="125397682">
    <w:abstractNumId w:val="8"/>
  </w:num>
  <w:num w:numId="13" w16cid:durableId="836389000">
    <w:abstractNumId w:val="11"/>
  </w:num>
  <w:num w:numId="14" w16cid:durableId="352388244">
    <w:abstractNumId w:val="2"/>
  </w:num>
  <w:num w:numId="15" w16cid:durableId="1466661810">
    <w:abstractNumId w:val="6"/>
  </w:num>
  <w:num w:numId="16" w16cid:durableId="1486975852">
    <w:abstractNumId w:val="13"/>
  </w:num>
  <w:num w:numId="17" w16cid:durableId="1319726503">
    <w:abstractNumId w:val="17"/>
  </w:num>
  <w:num w:numId="18" w16cid:durableId="36544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24E2B"/>
    <w:rsid w:val="00071A20"/>
    <w:rsid w:val="000F13B3"/>
    <w:rsid w:val="001174ED"/>
    <w:rsid w:val="00143DF0"/>
    <w:rsid w:val="00154105"/>
    <w:rsid w:val="00171277"/>
    <w:rsid w:val="001A1D53"/>
    <w:rsid w:val="00206250"/>
    <w:rsid w:val="002C237D"/>
    <w:rsid w:val="0043548E"/>
    <w:rsid w:val="00436026"/>
    <w:rsid w:val="00596193"/>
    <w:rsid w:val="00663942"/>
    <w:rsid w:val="00673F74"/>
    <w:rsid w:val="00676FB1"/>
    <w:rsid w:val="00822A78"/>
    <w:rsid w:val="00873FAF"/>
    <w:rsid w:val="009D0FCA"/>
    <w:rsid w:val="00AD51E7"/>
    <w:rsid w:val="00AE0C1D"/>
    <w:rsid w:val="00B82CDB"/>
    <w:rsid w:val="00C221B0"/>
    <w:rsid w:val="00C74C16"/>
    <w:rsid w:val="00D67BAC"/>
    <w:rsid w:val="00D97409"/>
    <w:rsid w:val="00DE049C"/>
    <w:rsid w:val="00E54981"/>
    <w:rsid w:val="00E6027F"/>
    <w:rsid w:val="00F50E0F"/>
    <w:rsid w:val="00FB442A"/>
    <w:rsid w:val="00FE5D01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Heading1">
    <w:name w:val="heading 1"/>
    <w:aliases w:val="Chapter"/>
    <w:basedOn w:val="Normal"/>
    <w:next w:val="Normal"/>
    <w:link w:val="Heading1Char"/>
    <w:autoRedefine/>
    <w:uiPriority w:val="9"/>
    <w:qFormat/>
    <w:rsid w:val="00663942"/>
    <w:pPr>
      <w:keepNext/>
      <w:keepLines/>
      <w:pageBreakBefore/>
      <w:spacing w:before="480" w:after="480"/>
      <w:ind w:left="1077" w:hanging="720"/>
      <w:jc w:val="center"/>
      <w:outlineLvl w:val="0"/>
    </w:pPr>
    <w:rPr>
      <w:rFonts w:eastAsiaTheme="majorEastAsia" w:cstheme="majorBidi"/>
      <w:b/>
      <w:color w:val="1065AB"/>
      <w:sz w:val="40"/>
      <w:szCs w:val="28"/>
    </w:rPr>
  </w:style>
  <w:style w:type="paragraph" w:styleId="Heading2">
    <w:name w:val="heading 2"/>
    <w:aliases w:val="Subchapter"/>
    <w:basedOn w:val="Normal"/>
    <w:next w:val="Normal"/>
    <w:link w:val="Heading2Char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9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CA"/>
  </w:style>
  <w:style w:type="paragraph" w:styleId="Footer">
    <w:name w:val="footer"/>
    <w:basedOn w:val="Normal"/>
    <w:link w:val="FooterChar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CA"/>
  </w:style>
  <w:style w:type="table" w:styleId="TableGrid">
    <w:name w:val="Table Grid"/>
    <w:basedOn w:val="TableNormal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663942"/>
    <w:rPr>
      <w:rFonts w:ascii="Tahoma" w:eastAsiaTheme="majorEastAsia" w:hAnsi="Tahoma" w:cstheme="majorBidi"/>
      <w:b/>
      <w:color w:val="1065AB"/>
      <w:sz w:val="40"/>
      <w:szCs w:val="28"/>
    </w:rPr>
  </w:style>
  <w:style w:type="paragraph" w:styleId="NoSpacing">
    <w:name w:val="No Spacing"/>
    <w:link w:val="NoSpacingChar"/>
    <w:uiPriority w:val="1"/>
    <w:qFormat/>
    <w:rsid w:val="009D0FCA"/>
    <w:pPr>
      <w:spacing w:after="0" w:line="240" w:lineRule="auto"/>
    </w:pPr>
  </w:style>
  <w:style w:type="character" w:customStyle="1" w:styleId="Heading2Char">
    <w:name w:val="Heading 2 Char"/>
    <w:aliases w:val="Subchapter Char"/>
    <w:basedOn w:val="DefaultParagraphFont"/>
    <w:link w:val="Heading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0FCA"/>
    <w:pPr>
      <w:spacing w:before="240" w:after="0" w:line="259" w:lineRule="auto"/>
      <w:ind w:left="0" w:firstLine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D0F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0FC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D0FCA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B82CDB"/>
  </w:style>
  <w:style w:type="paragraph" w:styleId="Caption">
    <w:name w:val="caption"/>
    <w:basedOn w:val="Normal"/>
    <w:next w:val="Normal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4ED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024E2B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C221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9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9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66394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Utwórz nowy dokument." ma:contentTypeScope="" ma:versionID="86103960ca44d5c9df2a8fb84c243902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f0b528dcbc4ce96b8fc80b5cec964086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99260-3951-4511-8677-AC001F8E836F}"/>
</file>

<file path=customXml/itemProps2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customXml/itemProps3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Business Analytics Skills for the Future-proofs Supply Chains -</vt:lpstr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</dc:title>
  <dc:subject/>
  <dc:creator>Autori:</dc:creator>
  <cp:keywords/>
  <dc:description/>
  <cp:lastModifiedBy>Dario Šebalj</cp:lastModifiedBy>
  <cp:revision>6</cp:revision>
  <dcterms:created xsi:type="dcterms:W3CDTF">2023-09-29T09:40:00Z</dcterms:created>
  <dcterms:modified xsi:type="dcterms:W3CDTF">2025-11-05T09:21:00Z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  <property fmtid="{D5CDD505-2E9C-101B-9397-08002B2CF9AE}" pid="3" name="MediaServiceImageTags">
    <vt:lpwstr/>
  </property>
</Properties>
</file>