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US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048A26F6" w:rsidR="00B82CDB" w:rsidRPr="00462D21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</w:pPr>
                                          <w:r w:rsidRPr="00462D21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US"/>
                                            </w:rPr>
                                            <w:t>Business Analytics Skills for the Future-proof Supply Chains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462D21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462D21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</w:p>
                                    <w:p w14:paraId="16A5D32C" w14:textId="77777777" w:rsidR="005009E8" w:rsidRDefault="005009E8" w:rsidP="005009E8">
                                      <w:pPr>
                                        <w:pStyle w:val="Bezodstpw"/>
                                        <w:rPr>
                                          <w:rFonts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009E8">
                                        <w:rPr>
                                          <w:rFonts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STUDIJA SLUČAJA</w:t>
                                      </w:r>
                                    </w:p>
                                    <w:p w14:paraId="2B03DD73" w14:textId="77777777" w:rsidR="005009E8" w:rsidRPr="005009E8" w:rsidRDefault="005009E8" w:rsidP="005009E8">
                                      <w:pPr>
                                        <w:pStyle w:val="Bezodstpw"/>
                                        <w:rPr>
                                          <w:rFonts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</w:p>
                                    <w:p w14:paraId="40C246BB" w14:textId="43BD18CE" w:rsidR="00B82CDB" w:rsidRPr="005009E8" w:rsidRDefault="005009E8" w:rsidP="00B82CDB">
                                      <w:pPr>
                                        <w:pStyle w:val="Bezodstpw"/>
                                        <w:rPr>
                                          <w:rFonts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009E8">
                                        <w:rPr>
                                          <w:rFonts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</w:rPr>
                                        <w:t>ANALIZA ANKETE</w:t>
                                      </w:r>
                                      <w:r w:rsidR="00B82CDB" w:rsidRPr="00462D21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  <w:br/>
                                      </w:r>
                                    </w:p>
                                    <w:p w14:paraId="791DF142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</w:p>
                                    <w:p w14:paraId="17DA33FD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p w14:paraId="5A44481D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p w14:paraId="6CC00CD1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p w14:paraId="2D36A2BC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p w14:paraId="4200A009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p w14:paraId="33550BC0" w14:textId="77777777" w:rsidR="00B82CDB" w:rsidRPr="00462D21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  <w:lang w:val="en-US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435E0656" w:rsidR="00B82CDB" w:rsidRPr="00462D21" w:rsidRDefault="00B82CDB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US"/>
                                            </w:rPr>
                                          </w:pPr>
                                          <w:r w:rsidRPr="00462D21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US"/>
                                            </w:rPr>
                                            <w:t>Authors:</w:t>
                                          </w:r>
                                        </w:p>
                                      </w:sdtContent>
                                    </w:sdt>
                                    <w:p w14:paraId="72A654AA" w14:textId="7F8EC3CE" w:rsidR="00B82CDB" w:rsidRPr="00BF55DA" w:rsidRDefault="00342EAE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  <w:r w:rsidRPr="00BF55DA"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>Dejan Mirčetić</w:t>
                                      </w:r>
                                    </w:p>
                                    <w:p w14:paraId="23C55FE9" w14:textId="77777777" w:rsidR="00B82CDB" w:rsidRPr="00BF55DA" w:rsidRDefault="00342EAE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  <w:r w:rsidRPr="00BF55DA"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>Marinko Maslarić</w:t>
                                      </w:r>
                                    </w:p>
                                    <w:p w14:paraId="0A6EDB1C" w14:textId="77777777" w:rsidR="00816895" w:rsidRDefault="00816895" w:rsidP="00816895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</w:p>
                                    <w:p w14:paraId="59D86968" w14:textId="77777777" w:rsidR="00816895" w:rsidRPr="00F64AA0" w:rsidRDefault="00816895" w:rsidP="00816895">
                                      <w:pPr>
                                        <w:pStyle w:val="Bezodstpw"/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F64AA0">
                                        <w:rPr>
                                          <w:color w:val="ED7D31" w:themeColor="accent2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Final version:</w:t>
                                      </w:r>
                                    </w:p>
                                    <w:p w14:paraId="5E50A960" w14:textId="77777777" w:rsidR="00816895" w:rsidRDefault="00816895" w:rsidP="00816895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  <w:lang w:val="en-US"/>
                                        </w:rPr>
                                        <w:t>June 2025</w:t>
                                      </w:r>
                                    </w:p>
                                    <w:p w14:paraId="08017160" w14:textId="676E8AB9" w:rsidR="00816895" w:rsidRDefault="00816895">
                                      <w:pPr>
                                        <w:pStyle w:val="Bezodstpw"/>
                                      </w:pP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58240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US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048A26F6" w:rsidR="00B82CDB" w:rsidRPr="00462D21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</w:pPr>
                                    <w:r w:rsidRPr="00462D21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US"/>
                                      </w:rPr>
                                      <w:t>Business Analytics Skills for the Future-proof Supply Chains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462D21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462D21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</w:p>
                              <w:p w14:paraId="16A5D32C" w14:textId="77777777" w:rsidR="005009E8" w:rsidRDefault="005009E8" w:rsidP="005009E8">
                                <w:pPr>
                                  <w:pStyle w:val="Bezodstpw"/>
                                  <w:rPr>
                                    <w:rFonts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5009E8">
                                  <w:rPr>
                                    <w:rFonts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STUDIJA SLUČAJA</w:t>
                                </w:r>
                              </w:p>
                              <w:p w14:paraId="2B03DD73" w14:textId="77777777" w:rsidR="005009E8" w:rsidRPr="005009E8" w:rsidRDefault="005009E8" w:rsidP="005009E8">
                                <w:pPr>
                                  <w:pStyle w:val="Bezodstpw"/>
                                  <w:rPr>
                                    <w:rFonts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0C246BB" w14:textId="43BD18CE" w:rsidR="00B82CDB" w:rsidRPr="005009E8" w:rsidRDefault="005009E8" w:rsidP="00B82CDB">
                                <w:pPr>
                                  <w:pStyle w:val="Bezodstpw"/>
                                  <w:rPr>
                                    <w:rFonts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</w:pPr>
                                <w:r w:rsidRPr="005009E8">
                                  <w:rPr>
                                    <w:rFonts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</w:rPr>
                                  <w:t>ANALIZA ANKETE</w:t>
                                </w:r>
                                <w:r w:rsidR="00B82CDB" w:rsidRPr="00462D21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US"/>
                                  </w:rPr>
                                  <w:br/>
                                </w:r>
                              </w:p>
                              <w:p w14:paraId="791DF142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</w:p>
                              <w:p w14:paraId="17DA33FD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14:paraId="5A44481D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14:paraId="6CC00CD1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14:paraId="2D36A2BC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14:paraId="4200A009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14:paraId="33550BC0" w14:textId="77777777" w:rsidR="00B82CDB" w:rsidRPr="00462D21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  <w:lang w:val="en-US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435E0656" w:rsidR="00B82CDB" w:rsidRPr="00462D21" w:rsidRDefault="00B82CDB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US"/>
                                      </w:rPr>
                                    </w:pPr>
                                    <w:r w:rsidRPr="00462D21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US"/>
                                      </w:rPr>
                                      <w:t>Authors:</w:t>
                                    </w:r>
                                  </w:p>
                                </w:sdtContent>
                              </w:sdt>
                              <w:p w14:paraId="72A654AA" w14:textId="7F8EC3CE" w:rsidR="00B82CDB" w:rsidRPr="00BF55DA" w:rsidRDefault="00342EAE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  <w:r w:rsidRPr="00BF55DA">
                                  <w:rPr>
                                    <w:color w:val="44546A" w:themeColor="text2"/>
                                    <w:lang w:val="en-US"/>
                                  </w:rPr>
                                  <w:t>Dejan Mirčetić</w:t>
                                </w:r>
                              </w:p>
                              <w:p w14:paraId="23C55FE9" w14:textId="77777777" w:rsidR="00B82CDB" w:rsidRPr="00BF55DA" w:rsidRDefault="00342EAE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  <w:r w:rsidRPr="00BF55DA">
                                  <w:rPr>
                                    <w:color w:val="44546A" w:themeColor="text2"/>
                                    <w:lang w:val="en-US"/>
                                  </w:rPr>
                                  <w:t>Marinko Maslarić</w:t>
                                </w:r>
                              </w:p>
                              <w:p w14:paraId="0A6EDB1C" w14:textId="77777777" w:rsidR="00816895" w:rsidRDefault="00816895" w:rsidP="00816895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</w:p>
                              <w:p w14:paraId="59D86968" w14:textId="77777777" w:rsidR="00816895" w:rsidRPr="00F64AA0" w:rsidRDefault="00816895" w:rsidP="00816895">
                                <w:pPr>
                                  <w:pStyle w:val="Bezodstpw"/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F64AA0"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en-US"/>
                                  </w:rPr>
                                  <w:t>Final version:</w:t>
                                </w:r>
                              </w:p>
                              <w:p w14:paraId="5E50A960" w14:textId="77777777" w:rsidR="00816895" w:rsidRDefault="00816895" w:rsidP="00816895">
                                <w:pPr>
                                  <w:pStyle w:val="Bezodstpw"/>
                                  <w:rPr>
                                    <w:color w:val="44546A" w:themeColor="text2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  <w:lang w:val="en-US"/>
                                  </w:rPr>
                                  <w:t>June 2025</w:t>
                                </w:r>
                              </w:p>
                              <w:p w14:paraId="08017160" w14:textId="676E8AB9" w:rsidR="00816895" w:rsidRDefault="00816895">
                                <w:pPr>
                                  <w:pStyle w:val="Bezodstpw"/>
                                </w:pP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098A2A07" w:rsidR="009D0FCA" w:rsidRDefault="0032230A" w:rsidP="00AD51E7">
          <w:pPr>
            <w:pStyle w:val="Nagwekspisutreci"/>
            <w:rPr>
              <w:b/>
              <w:bCs/>
            </w:rPr>
          </w:pPr>
          <w:proofErr w:type="spellStart"/>
          <w:r w:rsidRPr="0032230A">
            <w:rPr>
              <w:b/>
              <w:bCs/>
            </w:rPr>
            <w:t>Sadržaj</w:t>
          </w:r>
          <w:proofErr w:type="spellEnd"/>
        </w:p>
        <w:p w14:paraId="23CD511A" w14:textId="77777777" w:rsidR="0032230A" w:rsidRPr="0032230A" w:rsidRDefault="0032230A" w:rsidP="0032230A">
          <w:pPr>
            <w:rPr>
              <w:lang w:eastAsia="pl-PL"/>
            </w:rPr>
          </w:pPr>
        </w:p>
        <w:p w14:paraId="7AEDCDFB" w14:textId="06FF17E7" w:rsidR="0032230A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24832" w:history="1">
            <w:r w:rsidR="0032230A" w:rsidRPr="00981CF4">
              <w:rPr>
                <w:rStyle w:val="Hipercze"/>
                <w:noProof/>
                <w:lang w:val="en-US"/>
              </w:rPr>
              <w:t>BAS4SC – Business Analytics Skills for the Future-proof Supply Chains</w:t>
            </w:r>
            <w:r w:rsidR="0032230A">
              <w:rPr>
                <w:noProof/>
                <w:webHidden/>
              </w:rPr>
              <w:tab/>
            </w:r>
            <w:r w:rsidR="0032230A">
              <w:rPr>
                <w:noProof/>
                <w:webHidden/>
              </w:rPr>
              <w:fldChar w:fldCharType="begin"/>
            </w:r>
            <w:r w:rsidR="0032230A">
              <w:rPr>
                <w:noProof/>
                <w:webHidden/>
              </w:rPr>
              <w:instrText xml:space="preserve"> PAGEREF _Toc213324832 \h </w:instrText>
            </w:r>
            <w:r w:rsidR="0032230A">
              <w:rPr>
                <w:noProof/>
                <w:webHidden/>
              </w:rPr>
            </w:r>
            <w:r w:rsidR="0032230A">
              <w:rPr>
                <w:noProof/>
                <w:webHidden/>
              </w:rPr>
              <w:fldChar w:fldCharType="separate"/>
            </w:r>
            <w:r w:rsidR="0032230A">
              <w:rPr>
                <w:noProof/>
                <w:webHidden/>
              </w:rPr>
              <w:t>2</w:t>
            </w:r>
            <w:r w:rsidR="0032230A">
              <w:rPr>
                <w:noProof/>
                <w:webHidden/>
              </w:rPr>
              <w:fldChar w:fldCharType="end"/>
            </w:r>
          </w:hyperlink>
        </w:p>
        <w:p w14:paraId="10040D8C" w14:textId="7EFD94AF" w:rsidR="0032230A" w:rsidRDefault="0032230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pl-PL"/>
            </w:rPr>
          </w:pPr>
          <w:hyperlink w:anchor="_Toc213324833" w:history="1">
            <w:r w:rsidRPr="00981CF4">
              <w:rPr>
                <w:rStyle w:val="Hipercze"/>
                <w:noProof/>
              </w:rPr>
              <w:t>ZADATAK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_Toc213324833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068874FA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364105C9" w14:textId="77777777" w:rsidR="00E6027F" w:rsidRDefault="00E6027F" w:rsidP="00D67BAC"/>
    <w:p w14:paraId="0A4327BD" w14:textId="10F82A13" w:rsidR="00484FC9" w:rsidRPr="00462D21" w:rsidRDefault="00484FC9" w:rsidP="00FF67DA">
      <w:pPr>
        <w:pStyle w:val="Nagwek1"/>
        <w:numPr>
          <w:ilvl w:val="0"/>
          <w:numId w:val="0"/>
        </w:numPr>
        <w:rPr>
          <w:lang w:val="en-US"/>
        </w:rPr>
      </w:pPr>
      <w:bookmarkStart w:id="0" w:name="_Toc213324832"/>
      <w:r w:rsidRPr="00462D21">
        <w:rPr>
          <w:lang w:val="en-US"/>
        </w:rPr>
        <w:lastRenderedPageBreak/>
        <w:t>BAS4SC – Business Analytics Skills for the Future-proof Supply Chains</w:t>
      </w:r>
      <w:bookmarkEnd w:id="0"/>
      <w:r w:rsidRPr="00462D21">
        <w:rPr>
          <w:lang w:val="en-US"/>
        </w:rPr>
        <w:t xml:space="preserve"> </w:t>
      </w:r>
    </w:p>
    <w:p w14:paraId="0734C007" w14:textId="77777777" w:rsidR="005009E8" w:rsidRDefault="005009E8" w:rsidP="00AD37CF">
      <w:pPr>
        <w:spacing w:line="276" w:lineRule="auto"/>
        <w:rPr>
          <w:rFonts w:eastAsia="SimSun" w:cs="Tahoma"/>
          <w:b/>
          <w:bCs/>
          <w:iCs/>
          <w:color w:val="000000"/>
          <w:kern w:val="0"/>
          <w:lang w:val="en-US" w:eastAsia="zh-CN"/>
          <w14:ligatures w14:val="none"/>
        </w:rPr>
      </w:pPr>
      <w:r w:rsidRPr="005009E8">
        <w:rPr>
          <w:rFonts w:eastAsia="SimSun" w:cs="Tahoma"/>
          <w:b/>
          <w:bCs/>
          <w:iCs/>
          <w:color w:val="000000"/>
          <w:kern w:val="0"/>
          <w:lang w:val="en-US" w:eastAsia="zh-CN"/>
          <w14:ligatures w14:val="none"/>
        </w:rPr>
        <w:t xml:space="preserve">Analiza </w:t>
      </w:r>
      <w:proofErr w:type="spellStart"/>
      <w:r w:rsidRPr="005009E8">
        <w:rPr>
          <w:rFonts w:eastAsia="SimSun" w:cs="Tahoma"/>
          <w:b/>
          <w:bCs/>
          <w:iCs/>
          <w:color w:val="000000"/>
          <w:kern w:val="0"/>
          <w:lang w:val="en-US" w:eastAsia="zh-CN"/>
          <w14:ligatures w14:val="none"/>
        </w:rPr>
        <w:t>ankete</w:t>
      </w:r>
      <w:proofErr w:type="spellEnd"/>
    </w:p>
    <w:p w14:paraId="000E3F22" w14:textId="77777777" w:rsidR="005009E8" w:rsidRPr="005009E8" w:rsidRDefault="005009E8" w:rsidP="00AD37CF">
      <w:pPr>
        <w:spacing w:line="276" w:lineRule="auto"/>
        <w:rPr>
          <w:rFonts w:eastAsia="SimSun" w:cs="Tahoma"/>
          <w:iCs/>
          <w:color w:val="000000"/>
          <w:kern w:val="0"/>
          <w:lang w:val="en-US" w:eastAsia="zh-CN"/>
          <w14:ligatures w14:val="none"/>
        </w:rPr>
      </w:pPr>
    </w:p>
    <w:p w14:paraId="0DB78125" w14:textId="509C0300" w:rsidR="005009E8" w:rsidRPr="005009E8" w:rsidRDefault="005009E8" w:rsidP="00AD37CF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U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ovoj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studiji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slučaja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analiziraju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se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podaci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iz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ankete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prikupljeni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od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studenata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nastavnika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poduzeća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iz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nekoliko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zemalja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uključujući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Srbiju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Hrvatsku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Sloveniju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Poljsku.Primarni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cilj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je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sažeti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odgovore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iz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ankete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povezati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vještine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otkrivene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u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anketama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provesti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rangiranje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sortiranje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te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klasificirati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pojedine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predmete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u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kategorije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na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temelju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ocjena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evaluacije</w:t>
      </w:r>
      <w:proofErr w:type="spellEnd"/>
      <w:r w:rsidRPr="005009E8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>.</w:t>
      </w:r>
      <w:r w:rsidR="00F94C3C">
        <w:rPr>
          <w:rFonts w:eastAsia="SimSun" w:cs="Tahoma"/>
          <w:iCs/>
          <w:color w:val="000000"/>
          <w:kern w:val="0"/>
          <w:lang w:val="en-US" w:eastAsia="zh-CN"/>
          <w14:ligatures w14:val="none"/>
        </w:rPr>
        <w:t xml:space="preserve"> </w:t>
      </w:r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Za obradu, manipulaciju i sažimanje podataka koristi se programski jezik R.</w:t>
      </w:r>
    </w:p>
    <w:p w14:paraId="3A8FE5B5" w14:textId="3D6C1D1B" w:rsidR="00484FC9" w:rsidRPr="00F94C3C" w:rsidRDefault="00484FC9" w:rsidP="00AD37CF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3A458534" w14:textId="77777777" w:rsidR="005009E8" w:rsidRDefault="005009E8" w:rsidP="00AD37CF">
      <w:pPr>
        <w:spacing w:line="276" w:lineRule="auto"/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>Pregled</w:t>
      </w:r>
      <w:proofErr w:type="spellEnd"/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>problema</w:t>
      </w:r>
      <w:proofErr w:type="spellEnd"/>
    </w:p>
    <w:p w14:paraId="427C5E1B" w14:textId="77777777" w:rsidR="005009E8" w:rsidRPr="005009E8" w:rsidRDefault="005009E8" w:rsidP="00AD37CF">
      <w:pPr>
        <w:spacing w:line="276" w:lineRule="auto"/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</w:pPr>
    </w:p>
    <w:p w14:paraId="1813EE64" w14:textId="48F1472B" w:rsidR="005009E8" w:rsidRPr="005009E8" w:rsidRDefault="005009E8" w:rsidP="00AD37CF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Anketa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BAS4SC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prikuplja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odgovore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koji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odnose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aspekte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obrazovanja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vještina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profesionalnog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razvoja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Podaci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iz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ankete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dolaze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više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zemalja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različitih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skupina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ispitanika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studenti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nastavnici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poduzeća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).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Izazov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sastoji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sljedećem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:</w:t>
      </w:r>
    </w:p>
    <w:p w14:paraId="4FAD2547" w14:textId="77777777" w:rsidR="005009E8" w:rsidRPr="005009E8" w:rsidRDefault="005009E8" w:rsidP="00AD37CF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kako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bi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razumjeli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odgovori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ankete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407C026A" w14:textId="77777777" w:rsidR="005009E8" w:rsidRPr="005009E8" w:rsidRDefault="005009E8" w:rsidP="00AD37CF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Povezivanju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vještina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koje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identificirane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kod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različitih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ispitanika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u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različitim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zemljama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0756C61" w14:textId="77777777" w:rsidR="005009E8" w:rsidRPr="005009E8" w:rsidRDefault="005009E8" w:rsidP="00AD37CF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Rangiranju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sortiranju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predmeta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temelju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63CBB734" w14:textId="77777777" w:rsidR="005009E8" w:rsidRPr="005009E8" w:rsidRDefault="005009E8" w:rsidP="00AD37CF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Klasifikaciji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predmeta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temelju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rezultata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26C53DB0" w14:textId="77777777" w:rsidR="005009E8" w:rsidRPr="005009E8" w:rsidRDefault="005009E8" w:rsidP="00AD37CF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5922CC5D" w14:textId="77777777" w:rsidR="005009E8" w:rsidRPr="005009E8" w:rsidRDefault="005009E8" w:rsidP="00AD37CF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Za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ovu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svrhu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potrebno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je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slijediti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metodologiju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prikazanu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slici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1, koja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prikazuje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postupak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klasifikacije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BAS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vještina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tri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kolegija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:</w:t>
      </w:r>
    </w:p>
    <w:p w14:paraId="2706F0A4" w14:textId="77777777" w:rsidR="005009E8" w:rsidRPr="005009E8" w:rsidRDefault="005009E8" w:rsidP="00AD37CF">
      <w:pPr>
        <w:numPr>
          <w:ilvl w:val="0"/>
          <w:numId w:val="10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>C1:</w:t>
      </w:r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Napredno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korištenje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proračunskih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tablica za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logističkih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</w:p>
    <w:p w14:paraId="504A89C9" w14:textId="77777777" w:rsidR="005009E8" w:rsidRPr="005009E8" w:rsidRDefault="005009E8" w:rsidP="00AD37CF">
      <w:pPr>
        <w:numPr>
          <w:ilvl w:val="0"/>
          <w:numId w:val="10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>C2:</w:t>
      </w:r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Poslovna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inteligencija</w:t>
      </w:r>
      <w:proofErr w:type="spellEnd"/>
    </w:p>
    <w:p w14:paraId="5694C56D" w14:textId="77777777" w:rsidR="005009E8" w:rsidRPr="005009E8" w:rsidRDefault="005009E8" w:rsidP="00AD37CF">
      <w:pPr>
        <w:numPr>
          <w:ilvl w:val="0"/>
          <w:numId w:val="10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5009E8">
        <w:rPr>
          <w:rFonts w:eastAsia="SimSun" w:cs="Tahoma"/>
          <w:b/>
          <w:bCs/>
          <w:iCs/>
          <w:color w:val="000000"/>
          <w:kern w:val="0"/>
          <w:lang w:eastAsia="zh-CN"/>
          <w14:ligatures w14:val="none"/>
        </w:rPr>
        <w:t>C3:</w:t>
      </w:r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Statističke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metode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logističkih</w:t>
      </w:r>
      <w:proofErr w:type="spellEnd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5009E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</w:p>
    <w:p w14:paraId="1B72D280" w14:textId="7E1D46E7" w:rsidR="00484FC9" w:rsidRPr="005009E8" w:rsidRDefault="00484FC9" w:rsidP="00484FC9"/>
    <w:p w14:paraId="443617BC" w14:textId="31D93CD5" w:rsidR="00484FC9" w:rsidRDefault="00484FC9" w:rsidP="00484FC9">
      <w:pPr>
        <w:jc w:val="center"/>
      </w:pPr>
      <w:r>
        <w:rPr>
          <w:noProof/>
        </w:rPr>
        <w:lastRenderedPageBreak/>
        <w:drawing>
          <wp:inline distT="0" distB="0" distL="0" distR="0" wp14:anchorId="180FAD95" wp14:editId="7893C9F5">
            <wp:extent cx="5273675" cy="539559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39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C2A84" w14:textId="49D727A8" w:rsidR="00484FC9" w:rsidRPr="00484FC9" w:rsidRDefault="001030A7" w:rsidP="00484FC9">
      <w:pPr>
        <w:spacing w:after="0" w:line="240" w:lineRule="auto"/>
        <w:jc w:val="center"/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</w:pPr>
      <w:r w:rsidRPr="001030A7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Slika 1. Metodologija za klasifikaciju BAS vještina</w:t>
      </w:r>
      <w:r w:rsidR="00484FC9" w:rsidRPr="00484FC9">
        <w:rPr>
          <w:rFonts w:eastAsia="SimSun" w:cs="Tahoma"/>
          <w:iCs/>
          <w:color w:val="000000"/>
          <w:kern w:val="0"/>
          <w:lang w:val="sr-Latn-RS" w:eastAsia="zh-CN"/>
          <w14:ligatures w14:val="none"/>
        </w:rPr>
        <w:t>.</w:t>
      </w:r>
    </w:p>
    <w:p w14:paraId="75FF8CDE" w14:textId="77777777" w:rsidR="00484FC9" w:rsidRPr="00145521" w:rsidRDefault="00484FC9" w:rsidP="00484FC9">
      <w:pPr>
        <w:jc w:val="center"/>
      </w:pPr>
    </w:p>
    <w:p w14:paraId="5DC9BBA7" w14:textId="1FD7D719" w:rsidR="00D67BAC" w:rsidRPr="007A7058" w:rsidRDefault="00145521" w:rsidP="00FF67DA">
      <w:pPr>
        <w:pStyle w:val="Nagwek1"/>
        <w:numPr>
          <w:ilvl w:val="0"/>
          <w:numId w:val="0"/>
        </w:numPr>
      </w:pPr>
      <w:bookmarkStart w:id="1" w:name="_Toc213324833"/>
      <w:r w:rsidRPr="007A7058">
        <w:lastRenderedPageBreak/>
        <w:t>ZADATAK</w:t>
      </w:r>
      <w:bookmarkEnd w:id="1"/>
    </w:p>
    <w:p w14:paraId="1D81483A" w14:textId="77777777" w:rsidR="007A7058" w:rsidRPr="007A7058" w:rsidRDefault="007A7058" w:rsidP="007A7058">
      <w:pPr>
        <w:rPr>
          <w:rFonts w:cs="Tahoma"/>
          <w:b/>
          <w:bCs/>
        </w:rPr>
      </w:pPr>
      <w:proofErr w:type="spellStart"/>
      <w:r w:rsidRPr="007A7058">
        <w:rPr>
          <w:rFonts w:cs="Tahoma"/>
          <w:b/>
          <w:bCs/>
        </w:rPr>
        <w:t>Pristup</w:t>
      </w:r>
      <w:proofErr w:type="spellEnd"/>
      <w:r w:rsidRPr="007A7058">
        <w:rPr>
          <w:rFonts w:cs="Tahoma"/>
          <w:b/>
          <w:bCs/>
        </w:rPr>
        <w:t xml:space="preserve"> i </w:t>
      </w:r>
      <w:proofErr w:type="spellStart"/>
      <w:r w:rsidRPr="007A7058">
        <w:rPr>
          <w:rFonts w:cs="Tahoma"/>
          <w:b/>
          <w:bCs/>
        </w:rPr>
        <w:t>postupak</w:t>
      </w:r>
      <w:proofErr w:type="spellEnd"/>
    </w:p>
    <w:p w14:paraId="03BCA4FA" w14:textId="20D2F9B1" w:rsidR="007A7058" w:rsidRPr="007A7058" w:rsidRDefault="007A7058" w:rsidP="007A7058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Postupak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koji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obradu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slijedi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nekoliko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ključnih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Prvo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učitavaju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unaprijed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obrađuju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ankete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zemlju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Srbiju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Hrvatsku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Sloveniju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Poljsku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) te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ispitanika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studente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nastavnike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poduzeća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).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učitavaju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pomoću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paketa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readxl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čitanje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Excel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datoteka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), a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manipulaciju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podacima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paket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dplyr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711BE5E" w14:textId="1A3DEFC0" w:rsidR="007A7058" w:rsidRPr="007A7058" w:rsidRDefault="007A7058" w:rsidP="007A7058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Zatim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sažimaju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pomoću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funkcije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sumarizator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(), koja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izračunava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učestalost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razine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Ova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funkcija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obrađuje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određene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stupce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skupa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transponira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vraća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matricu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s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brojem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pojavljivanja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razine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Na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primjer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slučaju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studentskih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obrađuju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zemlju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te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generiraju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frekvencijske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tablice koje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prikazuju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raspodjelu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razina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npr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 „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važno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“, „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Važno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“)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kroz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različita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pitanja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Ove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matrice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zatim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preslaguju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radi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bolje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preglednosti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pravilnog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poravnanja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usporedbu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EC11B26" w14:textId="77777777" w:rsidR="007A7058" w:rsidRPr="007A7058" w:rsidRDefault="007A7058" w:rsidP="007A7058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Nakon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rezultati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zemlje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kombiniraju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zajedničke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tablice —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posebno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studente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poduzeća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agregiraju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tako da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zbroje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odgovarajuće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frekvencijske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tablice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zemlje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npr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joint_table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=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srb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+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cro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+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slo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+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pl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),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čime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stvara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objedinjeni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skup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daljnju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513B7C83" w14:textId="77777777" w:rsidR="007A7058" w:rsidRPr="007A7058" w:rsidRDefault="007A7058" w:rsidP="007A7058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Nakon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spajanja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rangiraju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sortiraju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temelju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ukupnih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dobivenih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ispitanika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studenata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nastavnika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poduzeća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).</w:t>
      </w: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br/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Provodi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ponderirana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analiza,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kojoj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prosječne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kombiniraju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kako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bi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dobila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konačna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Nakon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toga,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rangiraju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klasificiraju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npr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„A“, „B“, „C“) na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temelju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224833B" w14:textId="4912DD81" w:rsidR="007A7058" w:rsidRPr="007A7058" w:rsidRDefault="007A7058" w:rsidP="007A7058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Na kraju,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klasificiraju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prema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svojim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ukupnim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ocjenama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svrstava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„A“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ako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njegova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nalazi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unutar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gornjih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30 %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predmeta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dok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dodatne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kategorije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definiraju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temelju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određenih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pragova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rezultata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37CB6D13" w14:textId="671EA3DD" w:rsidR="006A15CC" w:rsidRPr="007A7058" w:rsidRDefault="006A15CC" w:rsidP="006A15CC">
      <w:pPr>
        <w:rPr>
          <w:rFonts w:cs="Tahoma"/>
        </w:rPr>
      </w:pPr>
    </w:p>
    <w:p w14:paraId="22E55AE8" w14:textId="77777777" w:rsidR="007A7058" w:rsidRPr="007A7058" w:rsidRDefault="007A7058" w:rsidP="007A7058">
      <w:pPr>
        <w:rPr>
          <w:rFonts w:cs="Tahoma"/>
          <w:b/>
          <w:bCs/>
        </w:rPr>
      </w:pPr>
      <w:proofErr w:type="spellStart"/>
      <w:r w:rsidRPr="007A7058">
        <w:rPr>
          <w:rFonts w:cs="Tahoma"/>
          <w:b/>
          <w:bCs/>
        </w:rPr>
        <w:t>Ključne</w:t>
      </w:r>
      <w:proofErr w:type="spellEnd"/>
      <w:r w:rsidRPr="007A7058">
        <w:rPr>
          <w:rFonts w:cs="Tahoma"/>
          <w:b/>
          <w:bCs/>
        </w:rPr>
        <w:t xml:space="preserve"> R </w:t>
      </w:r>
      <w:proofErr w:type="spellStart"/>
      <w:r w:rsidRPr="007A7058">
        <w:rPr>
          <w:rFonts w:cs="Tahoma"/>
          <w:b/>
          <w:bCs/>
        </w:rPr>
        <w:t>funkcije</w:t>
      </w:r>
      <w:proofErr w:type="spellEnd"/>
      <w:r w:rsidRPr="007A7058">
        <w:rPr>
          <w:rFonts w:cs="Tahoma"/>
          <w:b/>
          <w:bCs/>
        </w:rPr>
        <w:t xml:space="preserve"> koje </w:t>
      </w:r>
      <w:proofErr w:type="spellStart"/>
      <w:r w:rsidRPr="007A7058">
        <w:rPr>
          <w:rFonts w:cs="Tahoma"/>
          <w:b/>
          <w:bCs/>
        </w:rPr>
        <w:t>se</w:t>
      </w:r>
      <w:proofErr w:type="spellEnd"/>
      <w:r w:rsidRPr="007A7058">
        <w:rPr>
          <w:rFonts w:cs="Tahoma"/>
          <w:b/>
          <w:bCs/>
        </w:rPr>
        <w:t xml:space="preserve"> </w:t>
      </w:r>
      <w:proofErr w:type="spellStart"/>
      <w:r w:rsidRPr="007A7058">
        <w:rPr>
          <w:rFonts w:cs="Tahoma"/>
          <w:b/>
          <w:bCs/>
        </w:rPr>
        <w:t>koriste</w:t>
      </w:r>
      <w:proofErr w:type="spellEnd"/>
    </w:p>
    <w:p w14:paraId="53DD3B70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readxl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::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read_excel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učitavanje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ankete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Excel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datoteka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693E2AA0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dplyr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manipulaciju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podacima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.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Funkcije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poput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filter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(),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select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mutate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pomažu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transformaciji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daljnju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10F62E65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t()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transponira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radi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pripreme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4F5E8C3E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lastRenderedPageBreak/>
        <w:t>summary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()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izračunavanje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učestalosti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(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frekvencije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)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svake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razine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936FF29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matrix()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stvaranje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matrica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koje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prikazuju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sažetak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frekvencijskih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4DE7C387" w14:textId="77777777" w:rsidR="007A7058" w:rsidRPr="007A7058" w:rsidRDefault="007A7058" w:rsidP="007A7058">
      <w:pPr>
        <w:numPr>
          <w:ilvl w:val="0"/>
          <w:numId w:val="9"/>
        </w:num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write.csv() –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koristi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spremanje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obrađenih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zajedničkih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tablica u CSV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datoteke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radi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daljnjeg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izvještavanja</w:t>
      </w:r>
      <w:proofErr w:type="spellEnd"/>
      <w:r w:rsidRPr="007A7058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13016B96" w14:textId="77777777" w:rsidR="007A7058" w:rsidRPr="007A7058" w:rsidRDefault="007A7058" w:rsidP="00484FC9">
      <w:pPr>
        <w:rPr>
          <w:rFonts w:cs="Tahoma"/>
          <w:b/>
          <w:bCs/>
        </w:rPr>
      </w:pPr>
    </w:p>
    <w:p w14:paraId="174F6B20" w14:textId="77777777" w:rsidR="0032230A" w:rsidRPr="0032230A" w:rsidRDefault="0032230A" w:rsidP="0032230A">
      <w:pPr>
        <w:rPr>
          <w:rFonts w:cs="Tahoma"/>
          <w:b/>
          <w:bCs/>
        </w:rPr>
      </w:pPr>
      <w:proofErr w:type="spellStart"/>
      <w:r w:rsidRPr="0032230A">
        <w:rPr>
          <w:rFonts w:cs="Tahoma"/>
          <w:b/>
          <w:bCs/>
        </w:rPr>
        <w:t>Zaključak</w:t>
      </w:r>
      <w:proofErr w:type="spellEnd"/>
    </w:p>
    <w:p w14:paraId="5CCD6B96" w14:textId="75F8BEAC" w:rsidR="0032230A" w:rsidRPr="0032230A" w:rsidRDefault="0032230A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Ova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analiza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pruža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detaljan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uvid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podatke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ankete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BAS4SC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kroz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kombiniranje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klasifikaciju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odgovora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studenata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nastavnika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poduzeća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iz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više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zemalja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Konačni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rezultati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pohranjeni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CSV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datotekama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daljnju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izvještavanje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  <w:r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Postupak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je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uključivao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čišćenje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sažimanje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izradu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zajedničkih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skupova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rangiranje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klasifikaciju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predmeta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čime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je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dobiven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sveobuhvatan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pregled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ocjena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evaluacije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za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svaki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predmet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4FA545D6" w14:textId="77777777" w:rsidR="0032230A" w:rsidRPr="0032230A" w:rsidRDefault="0032230A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Slijedeći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ovaj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postupak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možete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provesti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slične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analize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na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vlastitim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skupovima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podataka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— bilo u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obrazovne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svrhe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istraživanje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tržišta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,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ili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analizu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anketa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u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području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logistike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i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upravljanja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lancem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 xml:space="preserve"> </w:t>
      </w:r>
      <w:proofErr w:type="spellStart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opskrbe</w:t>
      </w:r>
      <w:proofErr w:type="spellEnd"/>
      <w:r w:rsidRPr="0032230A">
        <w:rPr>
          <w:rFonts w:eastAsia="SimSun" w:cs="Tahoma"/>
          <w:iCs/>
          <w:color w:val="000000"/>
          <w:kern w:val="0"/>
          <w:lang w:eastAsia="zh-CN"/>
          <w14:ligatures w14:val="none"/>
        </w:rPr>
        <w:t>.</w:t>
      </w:r>
    </w:p>
    <w:p w14:paraId="7CD3BAFD" w14:textId="7A973EC1" w:rsidR="006A15CC" w:rsidRPr="0032230A" w:rsidRDefault="006A15CC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5CC6DA65" w14:textId="06BF5522" w:rsidR="00AE0C1D" w:rsidRPr="0032230A" w:rsidRDefault="00AE0C1D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4EA7E038" w14:textId="28B28C72" w:rsidR="009D0FCA" w:rsidRPr="0032230A" w:rsidRDefault="009D0FCA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6D192258" w14:textId="77777777" w:rsidR="002C237D" w:rsidRPr="0032230A" w:rsidRDefault="002C237D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3004F94C" w14:textId="77777777" w:rsidR="00822A78" w:rsidRPr="0032230A" w:rsidRDefault="00822A78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4006117B" w14:textId="77777777" w:rsidR="009D0FCA" w:rsidRPr="0032230A" w:rsidRDefault="009D0FCA" w:rsidP="0032230A">
      <w:pPr>
        <w:spacing w:line="276" w:lineRule="auto"/>
        <w:rPr>
          <w:rFonts w:eastAsia="SimSun" w:cs="Tahoma"/>
          <w:iCs/>
          <w:color w:val="000000"/>
          <w:kern w:val="0"/>
          <w:lang w:eastAsia="zh-CN"/>
          <w14:ligatures w14:val="none"/>
        </w:rPr>
      </w:pPr>
    </w:p>
    <w:p w14:paraId="08254B5D" w14:textId="5C485FAB" w:rsidR="00AD51E7" w:rsidRPr="0032230A" w:rsidRDefault="00AD51E7">
      <w:pPr>
        <w:spacing w:after="160" w:line="259" w:lineRule="auto"/>
        <w:jc w:val="left"/>
      </w:pPr>
      <w:r w:rsidRPr="0032230A">
        <w:br w:type="page"/>
      </w:r>
    </w:p>
    <w:p w14:paraId="5F8B10E4" w14:textId="1669FCE7" w:rsidR="009D0FCA" w:rsidRPr="0032230A" w:rsidRDefault="00AD51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3EE96397" w:rsidR="00AD51E7" w:rsidRPr="00462D21" w:rsidRDefault="00BC685D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US"/>
                                  </w:rPr>
                                  <w:t>Business Analytics Skills for the Future-proof Supply Chains</w:t>
                                </w:r>
                              </w:p>
                            </w:sdtContent>
                          </w:sdt>
                          <w:p w14:paraId="520D2776" w14:textId="77777777" w:rsidR="00AD51E7" w:rsidRPr="00462D21" w:rsidRDefault="00AD51E7" w:rsidP="00AD51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3EE96397" w:rsidR="00AD51E7" w:rsidRPr="00462D21" w:rsidRDefault="00BC685D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Business Analytics Skills for the Future-proof Supply Chains</w:t>
                          </w:r>
                        </w:p>
                      </w:sdtContent>
                    </w:sdt>
                    <w:p w14:paraId="520D2776" w14:textId="77777777" w:rsidR="00AD51E7" w:rsidRPr="00462D21" w:rsidRDefault="00AD51E7" w:rsidP="00AD51E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32230A" w:rsidRDefault="009D0FCA"/>
    <w:p w14:paraId="02AE0FF7" w14:textId="77777777" w:rsidR="009D0FCA" w:rsidRPr="0032230A" w:rsidRDefault="009D0FCA"/>
    <w:p w14:paraId="28253AC9" w14:textId="77777777" w:rsidR="009D0FCA" w:rsidRPr="0032230A" w:rsidRDefault="009D0FCA"/>
    <w:p w14:paraId="202AFCAB" w14:textId="77777777" w:rsidR="009D0FCA" w:rsidRPr="0032230A" w:rsidRDefault="009D0FCA"/>
    <w:sectPr w:rsidR="009D0FCA" w:rsidRPr="0032230A" w:rsidSect="00AD51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6202" w14:textId="77777777" w:rsidR="00D93C1A" w:rsidRDefault="00D93C1A" w:rsidP="009D0FCA">
      <w:pPr>
        <w:spacing w:after="0" w:line="240" w:lineRule="auto"/>
      </w:pPr>
      <w:r>
        <w:separator/>
      </w:r>
    </w:p>
  </w:endnote>
  <w:endnote w:type="continuationSeparator" w:id="0">
    <w:p w14:paraId="16649906" w14:textId="77777777" w:rsidR="00D93C1A" w:rsidRDefault="00D93C1A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7"/>
      <w:gridCol w:w="4515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4436D7B7" w:rsidR="00462D21" w:rsidRPr="00462D21" w:rsidRDefault="00462D21">
          <w:pPr>
            <w:pStyle w:val="Stopka"/>
            <w:rPr>
              <w:rFonts w:cs="Tahoma"/>
              <w:caps/>
              <w:color w:val="F46C34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Case study – survey analytics</w:t>
          </w:r>
        </w:p>
      </w:tc>
      <w:tc>
        <w:tcPr>
          <w:tcW w:w="4674" w:type="dxa"/>
          <w:vAlign w:val="center"/>
        </w:tcPr>
        <w:p w14:paraId="66FCA310" w14:textId="7777777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  <w:p w14:paraId="1C7921AF" w14:textId="77777777" w:rsidR="00462D21" w:rsidRDefault="00462D21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E7AFE13" w14:textId="7E991E44" w:rsidR="009D0FCA" w:rsidRDefault="00462D21">
    <w:pPr>
      <w:pStyle w:val="Stopka"/>
    </w:pPr>
    <w:r>
      <w:rPr>
        <w:noProof/>
      </w:rPr>
      <w:drawing>
        <wp:inline distT="0" distB="0" distL="0" distR="0" wp14:anchorId="1C12056E" wp14:editId="335A2EAE">
          <wp:extent cx="2804160" cy="421281"/>
          <wp:effectExtent l="0" t="0" r="0" b="0"/>
          <wp:docPr id="662434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761" cy="429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5009E8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462D2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462D21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462D21">
            <w:rPr>
              <w:rFonts w:cs="Tahoma"/>
              <w:sz w:val="16"/>
              <w:szCs w:val="16"/>
              <w:lang w:val="en-US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462D21" w:rsidRDefault="009D0FC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4305" w14:textId="77777777" w:rsidR="00D93C1A" w:rsidRDefault="00D93C1A" w:rsidP="009D0FCA">
      <w:pPr>
        <w:spacing w:after="0" w:line="240" w:lineRule="auto"/>
      </w:pPr>
      <w:r>
        <w:separator/>
      </w:r>
    </w:p>
  </w:footnote>
  <w:footnote w:type="continuationSeparator" w:id="0">
    <w:p w14:paraId="3EFB9465" w14:textId="77777777" w:rsidR="00D93C1A" w:rsidRDefault="00D93C1A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5009E8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611927A5" w:rsidR="009D0FCA" w:rsidRPr="00462D21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  <w:lang w:val="en-US"/>
            </w:rPr>
          </w:pPr>
          <w:r w:rsidRPr="00462D21">
            <w:rPr>
              <w:b/>
              <w:bCs/>
              <w:color w:val="1065AB"/>
              <w:sz w:val="18"/>
              <w:szCs w:val="18"/>
              <w:lang w:val="en-US"/>
            </w:rPr>
            <w:t>BAS4SC</w:t>
          </w:r>
          <w:r w:rsidRPr="00462D21">
            <w:rPr>
              <w:lang w:val="en-US"/>
            </w:rPr>
            <w:t xml:space="preserve"> </w:t>
          </w:r>
          <w:r w:rsidR="00B82CDB" w:rsidRPr="00462D21">
            <w:rPr>
              <w:lang w:val="en-US"/>
            </w:rPr>
            <w:t xml:space="preserve">- </w:t>
          </w:r>
          <w:r w:rsidRPr="00462D21">
            <w:rPr>
              <w:b/>
              <w:bCs/>
              <w:color w:val="1065AB"/>
              <w:sz w:val="18"/>
              <w:szCs w:val="18"/>
              <w:lang w:val="en-US"/>
            </w:rPr>
            <w:t>Business Analytics Skills for the Future-proof Supply Chains</w:t>
          </w:r>
        </w:p>
      </w:tc>
      <w:tc>
        <w:tcPr>
          <w:tcW w:w="273" w:type="dxa"/>
          <w:vAlign w:val="center"/>
        </w:tcPr>
        <w:p w14:paraId="086A08EC" w14:textId="2DF7E516" w:rsidR="009D0FCA" w:rsidRPr="00462D21" w:rsidRDefault="009D0FCA" w:rsidP="009D0FCA">
          <w:pPr>
            <w:pStyle w:val="Nagwek"/>
            <w:jc w:val="left"/>
            <w:rPr>
              <w:sz w:val="18"/>
              <w:szCs w:val="18"/>
              <w:lang w:val="en-US"/>
            </w:rPr>
          </w:pPr>
        </w:p>
      </w:tc>
    </w:tr>
  </w:tbl>
  <w:p w14:paraId="1D790340" w14:textId="285C50F3" w:rsidR="009D0FCA" w:rsidRPr="00462D21" w:rsidRDefault="009D0FCA">
    <w:pPr>
      <w:pStyle w:val="Nagwek"/>
      <w:rPr>
        <w:sz w:val="18"/>
        <w:szCs w:val="18"/>
        <w:lang w:val="en-US"/>
      </w:rPr>
    </w:pPr>
    <w:r w:rsidRPr="00462D21">
      <w:rPr>
        <w:sz w:val="18"/>
        <w:szCs w:val="18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B73"/>
    <w:multiLevelType w:val="hybridMultilevel"/>
    <w:tmpl w:val="18D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31CE"/>
    <w:multiLevelType w:val="multilevel"/>
    <w:tmpl w:val="DEB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766"/>
    <w:multiLevelType w:val="multilevel"/>
    <w:tmpl w:val="505C6F0E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152618E1"/>
    <w:multiLevelType w:val="multilevel"/>
    <w:tmpl w:val="53F8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C1490A"/>
    <w:multiLevelType w:val="multilevel"/>
    <w:tmpl w:val="9844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516BE"/>
    <w:multiLevelType w:val="hybridMultilevel"/>
    <w:tmpl w:val="58A2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A7ABA"/>
    <w:multiLevelType w:val="multilevel"/>
    <w:tmpl w:val="19B0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B6C26E3"/>
    <w:multiLevelType w:val="multilevel"/>
    <w:tmpl w:val="3098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090125">
    <w:abstractNumId w:val="4"/>
  </w:num>
  <w:num w:numId="2" w16cid:durableId="627663262">
    <w:abstractNumId w:val="2"/>
  </w:num>
  <w:num w:numId="3" w16cid:durableId="2144154472">
    <w:abstractNumId w:val="9"/>
  </w:num>
  <w:num w:numId="4" w16cid:durableId="131214633">
    <w:abstractNumId w:val="5"/>
  </w:num>
  <w:num w:numId="5" w16cid:durableId="1306163776">
    <w:abstractNumId w:val="0"/>
  </w:num>
  <w:num w:numId="6" w16cid:durableId="302930958">
    <w:abstractNumId w:val="7"/>
  </w:num>
  <w:num w:numId="7" w16cid:durableId="193887033">
    <w:abstractNumId w:val="10"/>
  </w:num>
  <w:num w:numId="8" w16cid:durableId="261112300">
    <w:abstractNumId w:val="3"/>
  </w:num>
  <w:num w:numId="9" w16cid:durableId="394475965">
    <w:abstractNumId w:val="8"/>
  </w:num>
  <w:num w:numId="10" w16cid:durableId="140969663">
    <w:abstractNumId w:val="6"/>
  </w:num>
  <w:num w:numId="11" w16cid:durableId="208294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24E2B"/>
    <w:rsid w:val="00071A20"/>
    <w:rsid w:val="001030A7"/>
    <w:rsid w:val="001174ED"/>
    <w:rsid w:val="00143DF0"/>
    <w:rsid w:val="00145521"/>
    <w:rsid w:val="00171277"/>
    <w:rsid w:val="00206250"/>
    <w:rsid w:val="0023791D"/>
    <w:rsid w:val="002C237D"/>
    <w:rsid w:val="0032230A"/>
    <w:rsid w:val="00342EAE"/>
    <w:rsid w:val="0043548E"/>
    <w:rsid w:val="00436026"/>
    <w:rsid w:val="00462D21"/>
    <w:rsid w:val="00484FC9"/>
    <w:rsid w:val="005009E8"/>
    <w:rsid w:val="0058601C"/>
    <w:rsid w:val="005C10EA"/>
    <w:rsid w:val="005D21FB"/>
    <w:rsid w:val="005D4827"/>
    <w:rsid w:val="005F77B1"/>
    <w:rsid w:val="00673F74"/>
    <w:rsid w:val="006A15CC"/>
    <w:rsid w:val="00731F1B"/>
    <w:rsid w:val="00784B09"/>
    <w:rsid w:val="007A7058"/>
    <w:rsid w:val="00816895"/>
    <w:rsid w:val="00822A78"/>
    <w:rsid w:val="00873FAF"/>
    <w:rsid w:val="009B2065"/>
    <w:rsid w:val="009D0FCA"/>
    <w:rsid w:val="00AD37CF"/>
    <w:rsid w:val="00AD51E7"/>
    <w:rsid w:val="00AE0C1D"/>
    <w:rsid w:val="00B82CDB"/>
    <w:rsid w:val="00BC685D"/>
    <w:rsid w:val="00BF55DA"/>
    <w:rsid w:val="00C221B0"/>
    <w:rsid w:val="00C74C16"/>
    <w:rsid w:val="00D67BAC"/>
    <w:rsid w:val="00D93C1A"/>
    <w:rsid w:val="00D95F6D"/>
    <w:rsid w:val="00DE049C"/>
    <w:rsid w:val="00E54981"/>
    <w:rsid w:val="00E6027F"/>
    <w:rsid w:val="00F55AC7"/>
    <w:rsid w:val="00F85388"/>
    <w:rsid w:val="00F94C3C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AD51E7"/>
    <w:pPr>
      <w:keepNext/>
      <w:keepLines/>
      <w:pageBreakBefore/>
      <w:numPr>
        <w:numId w:val="2"/>
      </w:numPr>
      <w:spacing w:before="480" w:after="480"/>
      <w:ind w:left="1077"/>
      <w:outlineLvl w:val="0"/>
    </w:pPr>
    <w:rPr>
      <w:rFonts w:eastAsiaTheme="majorEastAsia" w:cstheme="majorBidi"/>
      <w:b/>
      <w:color w:val="1065AB"/>
      <w:sz w:val="44"/>
      <w:szCs w:val="32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4F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AD51E7"/>
    <w:rPr>
      <w:rFonts w:ascii="Tahoma" w:eastAsiaTheme="majorEastAsia" w:hAnsi="Tahoma" w:cstheme="majorBidi"/>
      <w:b/>
      <w:color w:val="1065AB"/>
      <w:sz w:val="44"/>
      <w:szCs w:val="32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4F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9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7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0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A4C46F9DF340B00409C6B9ED12C1" ma:contentTypeVersion="15" ma:contentTypeDescription="Create a new document." ma:contentTypeScope="" ma:versionID="f77c99be7a86767cf8852e2977576506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1290e7152641fe702006229a94e3f9e1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3.xml><?xml version="1.0" encoding="utf-8"?>
<ds:datastoreItem xmlns:ds="http://schemas.openxmlformats.org/officeDocument/2006/customXml" ds:itemID="{2CBA8C14-FFBF-4EFC-8A72-D6AA4B41F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</dc:title>
  <dc:subject/>
  <dc:creator>Authors:</dc:creator>
  <cp:keywords/>
  <dc:description/>
  <cp:lastModifiedBy>Katarzyna Ragin-Skorecka</cp:lastModifiedBy>
  <cp:revision>21</cp:revision>
  <dcterms:created xsi:type="dcterms:W3CDTF">2023-09-29T09:40:00Z</dcterms:created>
  <dcterms:modified xsi:type="dcterms:W3CDTF">2025-11-06T11:34:00Z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  <property fmtid="{D5CDD505-2E9C-101B-9397-08002B2CF9AE}" pid="3" name="MediaServiceImageTags">
    <vt:lpwstr/>
  </property>
</Properties>
</file>